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Gulfstream Options</w:t>
      </w:r>
    </w:p>
    <w:p>
      <w:pPr>
        <w:pStyle w:val="Normal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ind w:hanging="360" w:start="360" w:end="0"/>
        <w:rPr/>
      </w:pPr>
      <w:r>
        <w:rPr>
          <w:sz w:val="20"/>
        </w:rPr>
        <w:tab/>
      </w:r>
      <w:r>
        <w:rPr>
          <w:sz w:val="20"/>
          <w:u w:val="single"/>
        </w:rPr>
        <w:t>Key Points</w:t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sz w:val="20"/>
        </w:rPr>
        <w:t>At this time, the potential future markets don’t actually need firm capacity until the 2004-05 timeframe. These markets would like to know more about capacity availability and rates. However, in some ways there may be near term advantages to this uncertainty.</w:t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sz w:val="20"/>
        </w:rPr>
        <w:t>FGT is doing well under its last settlement in RP96-366. When the plan is complete thru a three-year period we will update the rate case study. It appears FGT will continue to do well on its STF, WD and ITS businesses.</w:t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sz w:val="20"/>
        </w:rPr>
        <w:t>Segmenting will impact the way FGT capacity is utilized.</w:t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sz w:val="20"/>
        </w:rPr>
        <w:t>If FPL proceeds with self-build option for new generating capacity in the 2004/05 timeframe, FPL may elect to take FT on Gulfstream, releasing FGT from the MFN clause.</w:t>
      </w:r>
    </w:p>
    <w:p>
      <w:pPr>
        <w:pStyle w:val="Normal"/>
        <w:numPr>
          <w:ilvl w:val="0"/>
          <w:numId w:val="2"/>
        </w:numPr>
        <w:rPr>
          <w:sz w:val="20"/>
        </w:rPr>
      </w:pPr>
      <w:r>
        <w:rPr>
          <w:sz w:val="20"/>
        </w:rPr>
        <w:t>Based on recent experience with OUC and feedback from TECO, the long-term FT rate in Florida may be moving up towards the 65-75¢ range (i.e. Gulfstream will not continue to offer 55-60¢ FT for customers outside the Gulfstream corridor).</w:t>
      </w:r>
    </w:p>
    <w:p>
      <w:pPr>
        <w:pStyle w:val="Normal"/>
        <w:ind w:hanging="360" w:start="720" w:end="0"/>
        <w:rPr>
          <w:sz w:val="20"/>
        </w:rPr>
      </w:pPr>
      <w:r>
        <w:rPr>
          <w:sz w:val="20"/>
        </w:rPr>
      </w:r>
    </w:p>
    <w:p>
      <w:pPr>
        <w:pStyle w:val="Normal"/>
        <w:ind w:hanging="360" w:start="720" w:end="0"/>
        <w:rPr>
          <w:sz w:val="20"/>
          <w:u w:val="single"/>
        </w:rPr>
      </w:pPr>
      <w:r>
        <w:rPr>
          <w:sz w:val="20"/>
          <w:u w:val="single"/>
        </w:rPr>
        <w:t>The most obvious choices:</w:t>
      </w:r>
    </w:p>
    <w:p>
      <w:pPr>
        <w:pStyle w:val="Normal"/>
        <w:numPr>
          <w:ilvl w:val="0"/>
          <w:numId w:val="1"/>
        </w:numPr>
        <w:rPr>
          <w:b/>
          <w:bCs/>
          <w:sz w:val="20"/>
        </w:rPr>
      </w:pPr>
      <w:r>
        <w:rPr>
          <w:b/>
          <w:bCs/>
          <w:sz w:val="20"/>
        </w:rPr>
        <w:t>Discounted ITS-1 Backhaul on FGT</w:t>
      </w:r>
    </w:p>
    <w:p>
      <w:pPr>
        <w:pStyle w:val="Normal"/>
        <w:ind w:start="1080" w:end="0"/>
        <w:rPr>
          <w:sz w:val="20"/>
        </w:rPr>
      </w:pPr>
      <w:r>
        <w:rPr>
          <w:sz w:val="20"/>
        </w:rPr>
        <w:t>- Does not meet the needs of the some power plant developers, but may work for some markets.</w:t>
      </w:r>
    </w:p>
    <w:p>
      <w:pPr>
        <w:pStyle w:val="Normal"/>
        <w:ind w:hanging="360" w:start="1080" w:end="0"/>
        <w:rPr>
          <w:sz w:val="20"/>
        </w:rPr>
      </w:pPr>
      <w:r>
        <w:rPr>
          <w:sz w:val="20"/>
        </w:rPr>
        <w:tab/>
        <w:t>- Recovery of capital investments by FGT.</w:t>
      </w:r>
    </w:p>
    <w:p>
      <w:pPr>
        <w:pStyle w:val="Normal"/>
        <w:numPr>
          <w:ilvl w:val="0"/>
          <w:numId w:val="1"/>
        </w:numPr>
        <w:rPr>
          <w:b/>
          <w:bCs/>
          <w:sz w:val="20"/>
        </w:rPr>
      </w:pPr>
      <w:r>
        <w:rPr>
          <w:b/>
          <w:bCs/>
          <w:sz w:val="20"/>
        </w:rPr>
        <w:t>Discounted FTS-2</w:t>
      </w:r>
    </w:p>
    <w:p>
      <w:pPr>
        <w:pStyle w:val="Normal"/>
        <w:ind w:start="1080" w:end="0"/>
        <w:rPr>
          <w:sz w:val="20"/>
        </w:rPr>
      </w:pPr>
      <w:r>
        <w:rPr>
          <w:sz w:val="20"/>
        </w:rPr>
        <w:t>- Does not pass MFN test.</w:t>
      </w:r>
    </w:p>
    <w:p>
      <w:pPr>
        <w:pStyle w:val="Normal"/>
        <w:numPr>
          <w:ilvl w:val="0"/>
          <w:numId w:val="1"/>
        </w:numPr>
        <w:rPr>
          <w:b/>
          <w:bCs/>
          <w:sz w:val="20"/>
        </w:rPr>
      </w:pPr>
      <w:r>
        <w:rPr>
          <w:b/>
          <w:bCs/>
          <w:sz w:val="20"/>
        </w:rPr>
        <w:t>Discounted FTS-1</w:t>
      </w:r>
    </w:p>
    <w:p>
      <w:pPr>
        <w:pStyle w:val="Normal"/>
        <w:ind w:start="1080" w:end="0"/>
        <w:rPr>
          <w:sz w:val="20"/>
        </w:rPr>
      </w:pPr>
      <w:r>
        <w:rPr>
          <w:sz w:val="20"/>
        </w:rPr>
        <w:t>- Potential MFN risk (see Stojic memo)</w:t>
      </w:r>
    </w:p>
    <w:p>
      <w:pPr>
        <w:pStyle w:val="Normal"/>
        <w:numPr>
          <w:ilvl w:val="0"/>
          <w:numId w:val="1"/>
        </w:numPr>
        <w:rPr>
          <w:b/>
          <w:bCs/>
          <w:sz w:val="20"/>
        </w:rPr>
      </w:pPr>
      <w:r>
        <w:rPr>
          <w:b/>
          <w:bCs/>
          <w:sz w:val="20"/>
        </w:rPr>
        <w:t xml:space="preserve">Create a new service outside of a rate case, but </w:t>
      </w:r>
      <w:r>
        <w:rPr>
          <w:b/>
          <w:bCs/>
          <w:sz w:val="20"/>
          <w:u w:val="single"/>
        </w:rPr>
        <w:t>don’t include Gulfstream</w:t>
      </w:r>
      <w:r>
        <w:rPr>
          <w:b/>
          <w:bCs/>
          <w:sz w:val="20"/>
        </w:rPr>
        <w:t xml:space="preserve"> costs</w:t>
      </w:r>
    </w:p>
    <w:p>
      <w:pPr>
        <w:pStyle w:val="Normal"/>
        <w:ind w:start="1080" w:end="0"/>
        <w:rPr>
          <w:sz w:val="20"/>
        </w:rPr>
      </w:pPr>
      <w:r>
        <w:rPr>
          <w:sz w:val="20"/>
        </w:rPr>
        <w:t>- Examples (FTS-3 or “enhanced interruptible backhaul”).</w:t>
      </w:r>
    </w:p>
    <w:p>
      <w:pPr>
        <w:pStyle w:val="Normal"/>
        <w:ind w:start="1080" w:end="0"/>
        <w:rPr>
          <w:sz w:val="20"/>
        </w:rPr>
      </w:pPr>
      <w:r>
        <w:rPr>
          <w:sz w:val="20"/>
        </w:rPr>
        <w:t>- Does not pass MFN test?</w:t>
      </w:r>
    </w:p>
    <w:p>
      <w:pPr>
        <w:pStyle w:val="Normal"/>
        <w:ind w:start="360" w:end="0"/>
        <w:rPr>
          <w:sz w:val="20"/>
          <w:u w:val="single"/>
        </w:rPr>
      </w:pPr>
      <w:r>
        <w:rPr>
          <w:sz w:val="20"/>
          <w:u w:val="single"/>
        </w:rPr>
        <w:t>Taking a position on Gulfstream:</w:t>
      </w:r>
    </w:p>
    <w:p>
      <w:pPr>
        <w:pStyle w:val="Normal"/>
        <w:numPr>
          <w:ilvl w:val="0"/>
          <w:numId w:val="1"/>
        </w:numPr>
        <w:rPr>
          <w:b/>
          <w:bCs/>
          <w:sz w:val="20"/>
        </w:rPr>
      </w:pPr>
      <w:r>
        <w:rPr>
          <w:b/>
          <w:bCs/>
          <w:sz w:val="20"/>
        </w:rPr>
        <w:t xml:space="preserve">Create a new service outside of a rate case that </w:t>
      </w:r>
      <w:r>
        <w:rPr>
          <w:b/>
          <w:bCs/>
          <w:sz w:val="20"/>
          <w:u w:val="single"/>
        </w:rPr>
        <w:t>includes Gulfstream</w:t>
      </w:r>
      <w:r>
        <w:rPr>
          <w:b/>
          <w:bCs/>
          <w:sz w:val="20"/>
        </w:rPr>
        <w:t xml:space="preserve"> costs (858 or undivided interest)</w:t>
      </w:r>
    </w:p>
    <w:p>
      <w:pPr>
        <w:pStyle w:val="Normal"/>
        <w:ind w:hanging="360" w:start="1440" w:end="0"/>
        <w:rPr>
          <w:sz w:val="20"/>
        </w:rPr>
      </w:pPr>
      <w:r>
        <w:rPr>
          <w:sz w:val="20"/>
        </w:rPr>
        <w:t>- FTC problems (similar to MFN, a legal opinion would be useful).</w:t>
      </w:r>
    </w:p>
    <w:p>
      <w:pPr>
        <w:pStyle w:val="Normal"/>
        <w:ind w:hanging="360" w:start="1440" w:end="0"/>
        <w:rPr>
          <w:sz w:val="20"/>
        </w:rPr>
      </w:pPr>
      <w:r>
        <w:rPr>
          <w:sz w:val="20"/>
        </w:rPr>
        <w:t>- No MFN problem at 75¢</w:t>
      </w:r>
    </w:p>
    <w:p>
      <w:pPr>
        <w:pStyle w:val="Normal"/>
        <w:numPr>
          <w:ilvl w:val="0"/>
          <w:numId w:val="1"/>
        </w:numPr>
        <w:rPr>
          <w:b/>
          <w:bCs/>
          <w:sz w:val="20"/>
        </w:rPr>
      </w:pPr>
      <w:r>
        <w:rPr>
          <w:b/>
          <w:bCs/>
          <w:sz w:val="20"/>
        </w:rPr>
        <w:t xml:space="preserve">Non-discounted FTS-2 </w:t>
      </w:r>
      <w:r>
        <w:rPr>
          <w:b/>
          <w:bCs/>
          <w:sz w:val="20"/>
          <w:u w:val="single"/>
        </w:rPr>
        <w:t>that includes Gulfstream</w:t>
      </w:r>
      <w:r>
        <w:rPr>
          <w:b/>
          <w:bCs/>
          <w:sz w:val="20"/>
        </w:rPr>
        <w:t xml:space="preserve"> costs</w:t>
      </w:r>
    </w:p>
    <w:p>
      <w:pPr>
        <w:pStyle w:val="Normal"/>
        <w:ind w:hanging="360" w:start="1440" w:end="0"/>
        <w:rPr>
          <w:sz w:val="20"/>
        </w:rPr>
      </w:pPr>
      <w:r>
        <w:rPr>
          <w:sz w:val="20"/>
        </w:rPr>
        <w:t>- FTC problems?</w:t>
      </w:r>
    </w:p>
    <w:p>
      <w:pPr>
        <w:pStyle w:val="Normal"/>
        <w:ind w:start="1080" w:end="0"/>
        <w:rPr>
          <w:sz w:val="20"/>
        </w:rPr>
      </w:pPr>
      <w:r>
        <w:rPr>
          <w:sz w:val="20"/>
        </w:rPr>
        <w:t>- No MFN problem at 75¢</w:t>
      </w:r>
    </w:p>
    <w:p>
      <w:pPr>
        <w:pStyle w:val="Normal"/>
        <w:ind w:start="360" w:end="0"/>
        <w:rPr>
          <w:sz w:val="20"/>
          <w:u w:val="single"/>
        </w:rPr>
      </w:pPr>
      <w:r>
        <w:rPr>
          <w:sz w:val="20"/>
          <w:u w:val="single"/>
        </w:rPr>
        <w:t>Rate Case Options:</w:t>
      </w:r>
    </w:p>
    <w:p>
      <w:pPr>
        <w:pStyle w:val="Normal"/>
        <w:numPr>
          <w:ilvl w:val="0"/>
          <w:numId w:val="1"/>
        </w:numPr>
        <w:rPr>
          <w:b/>
          <w:bCs/>
          <w:sz w:val="20"/>
        </w:rPr>
      </w:pPr>
      <w:r>
        <w:rPr>
          <w:b/>
          <w:bCs/>
          <w:sz w:val="20"/>
        </w:rPr>
        <w:t>Resolve in 2003 rate case</w:t>
      </w:r>
    </w:p>
    <w:p>
      <w:pPr>
        <w:pStyle w:val="BodyTextIndent"/>
        <w:rPr/>
      </w:pPr>
      <w:r>
        <w:rPr/>
        <w:t xml:space="preserve">- Too late, the case will not be resolved until 2005? Actually, given the timing of the markets this may not be a bad option. </w:t>
      </w:r>
    </w:p>
    <w:p>
      <w:pPr>
        <w:pStyle w:val="Normal"/>
        <w:numPr>
          <w:ilvl w:val="0"/>
          <w:numId w:val="1"/>
        </w:numPr>
        <w:rPr>
          <w:b/>
          <w:bCs/>
          <w:sz w:val="20"/>
        </w:rPr>
      </w:pPr>
      <w:r>
        <w:rPr>
          <w:b/>
          <w:bCs/>
          <w:sz w:val="20"/>
        </w:rPr>
        <w:t>File rate case early</w:t>
      </w:r>
    </w:p>
    <w:p>
      <w:pPr>
        <w:pStyle w:val="Normal"/>
        <w:ind w:hanging="360" w:start="1440" w:end="0"/>
        <w:rPr>
          <w:sz w:val="20"/>
        </w:rPr>
      </w:pPr>
      <w:r>
        <w:rPr>
          <w:sz w:val="20"/>
        </w:rPr>
        <w:t>- FGT is doing well under current settlement.</w:t>
      </w:r>
    </w:p>
    <w:p>
      <w:pPr>
        <w:pStyle w:val="Normal"/>
        <w:numPr>
          <w:ilvl w:val="1"/>
          <w:numId w:val="1"/>
        </w:numPr>
        <w:rPr>
          <w:sz w:val="20"/>
        </w:rPr>
      </w:pPr>
      <w:r>
        <w:rPr>
          <w:sz w:val="20"/>
        </w:rPr>
        <w:t>FGT would probably get killed on allocations to STF, ITS and WD</w:t>
      </w:r>
    </w:p>
    <w:p>
      <w:pPr>
        <w:pStyle w:val="Normal"/>
        <w:ind w:start="360" w:end="0"/>
        <w:rPr>
          <w:sz w:val="20"/>
          <w:u w:val="single"/>
        </w:rPr>
      </w:pPr>
      <w:r>
        <w:rPr>
          <w:sz w:val="20"/>
          <w:u w:val="single"/>
        </w:rPr>
        <w:t>Other:</w:t>
      </w:r>
    </w:p>
    <w:p>
      <w:pPr>
        <w:pStyle w:val="Normal"/>
        <w:numPr>
          <w:ilvl w:val="0"/>
          <w:numId w:val="1"/>
        </w:numPr>
        <w:rPr>
          <w:b/>
          <w:bCs/>
          <w:sz w:val="20"/>
        </w:rPr>
      </w:pPr>
      <w:r>
        <w:rPr>
          <w:b/>
          <w:bCs/>
          <w:sz w:val="20"/>
        </w:rPr>
        <w:t>Facilitate “capacity swaps”(transfer of existing FGT markets to new customers)</w:t>
      </w:r>
    </w:p>
    <w:p>
      <w:pPr>
        <w:pStyle w:val="Normal"/>
        <w:ind w:start="1080" w:end="0"/>
        <w:rPr/>
      </w:pPr>
      <w:r>
        <w:rPr>
          <w:b/>
          <w:bCs/>
          <w:sz w:val="20"/>
        </w:rPr>
        <w:t>-</w:t>
      </w:r>
      <w:r>
        <w:rPr>
          <w:sz w:val="20"/>
        </w:rPr>
        <w:t>Customer dual connected to Gulfstream and FGT, FGT helps facilitate transfer of existing capacity to new market.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start"/>
      <w:pPr>
        <w:tabs>
          <w:tab w:val="num" w:pos="720"/>
        </w:tabs>
        <w:ind w:start="720" w:hanging="360"/>
      </w:pPr>
      <w:rPr/>
    </w:lvl>
    <w:lvl w:ilvl="1">
      <w:start w:val="0"/>
      <w:numFmt w:val="bullet"/>
      <w:lvlText w:val="-"/>
      <w:lvlJc w:val="start"/>
      <w:pPr>
        <w:tabs>
          <w:tab w:val="num" w:pos="1440"/>
        </w:tabs>
        <w:ind w:star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abstractNum w:abstractNumId="2">
    <w:lvl w:ilvl="0"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WW8Num1z1">
    <w:name w:val="WW8Num1z1"/>
    <w:qFormat/>
    <w:rPr>
      <w:rFonts w:ascii="Times New Roman" w:hAnsi="Times New Roman" w:eastAsia="Times New Roman" w:cs="Times New Roman"/>
    </w:rPr>
  </w:style>
  <w:style w:type="character" w:styleId="WW8Num2z0">
    <w:name w:val="WW8Num2z0"/>
    <w:qFormat/>
    <w:rPr>
      <w:rFonts w:ascii="Symbol" w:hAnsi="Symbol" w:eastAsia="Times New Roman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1080" w:end="0"/>
    </w:pPr>
    <w:rPr>
      <w:sz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2001-10-08T18:30:00Z</dcterms:created>
  <dc:creator>blichte</dc:creator>
  <dc:description/>
  <dc:language>en-CA</dc:language>
  <cp:lastModifiedBy>blichte</cp:lastModifiedBy>
  <cp:lastPrinted>2001-10-08T15:55:00Z</cp:lastPrinted>
  <dcterms:modified xsi:type="dcterms:W3CDTF">2001-10-08T18:30:00Z</dcterms:modified>
  <cp:revision>2</cp:revision>
  <dc:subject/>
  <dc:title>Gulfstream Options</dc:title>
</cp:coreProperties>
</file>