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864" w:start="864" w:end="0"/>
        <w:jc w:val="center"/>
        <w:rPr>
          <w:b/>
        </w:rPr>
      </w:pPr>
      <w:r>
        <w:rPr>
          <w:b/>
        </w:rPr>
        <w:t>EXHIBIT "C"</w:t>
      </w:r>
    </w:p>
    <w:p>
      <w:pPr>
        <w:pStyle w:val="Normal"/>
        <w:jc w:val="center"/>
        <w:rPr/>
      </w:pPr>
      <w:r>
        <w:rPr/>
      </w:r>
    </w:p>
    <w:p>
      <w:pPr>
        <w:pStyle w:val="Normal"/>
        <w:jc w:val="center"/>
        <w:rPr/>
      </w:pPr>
      <w:r>
        <w:rPr/>
        <w:t>Transportation Fees to</w:t>
      </w:r>
    </w:p>
    <w:p>
      <w:pPr>
        <w:pStyle w:val="Normal"/>
        <w:jc w:val="center"/>
        <w:rPr/>
      </w:pPr>
      <w:r>
        <w:rPr/>
        <w:t>Interruptible Gas Transportation Agreement</w:t>
      </w:r>
    </w:p>
    <w:p>
      <w:pPr>
        <w:pStyle w:val="Normal"/>
        <w:jc w:val="center"/>
        <w:rPr/>
      </w:pPr>
      <w:r>
        <w:rPr/>
        <w:t>(Contract Number ___________) dated June 1, 2001</w:t>
      </w:r>
    </w:p>
    <w:p>
      <w:pPr>
        <w:pStyle w:val="Normal"/>
        <w:jc w:val="center"/>
        <w:rPr/>
      </w:pPr>
      <w:r>
        <w:rPr/>
        <w:t>between Gulf Coast Pipe Line Partners, L.P., as Gulf Coast, and</w:t>
      </w:r>
    </w:p>
    <w:p>
      <w:pPr>
        <w:pStyle w:val="Normal"/>
        <w:jc w:val="center"/>
        <w:rPr/>
      </w:pPr>
      <w:r>
        <w:rPr/>
        <w:t>Houston Pipe Line Company, as Shipper</w:t>
      </w:r>
    </w:p>
    <w:p>
      <w:pPr>
        <w:pStyle w:val="Normal"/>
        <w:tabs>
          <w:tab w:val="clear" w:pos="720"/>
          <w:tab w:val="left" w:pos="4176" w:leader="none"/>
          <w:tab w:val="left" w:pos="6768" w:leader="none"/>
        </w:tabs>
        <w:rPr/>
      </w:pPr>
      <w:r>
        <w:rPr/>
      </w:r>
    </w:p>
    <w:tbl>
      <w:tblPr>
        <w:tblW w:w="9468" w:type="dxa"/>
        <w:jc w:val="start"/>
        <w:tblInd w:w="0" w:type="dxa"/>
        <w:tblLayout w:type="fixed"/>
        <w:tblCellMar>
          <w:top w:w="0" w:type="dxa"/>
          <w:start w:w="108" w:type="dxa"/>
          <w:bottom w:w="0" w:type="dxa"/>
          <w:end w:w="108" w:type="dxa"/>
        </w:tblCellMar>
      </w:tblPr>
      <w:tblGrid>
        <w:gridCol w:w="3168"/>
        <w:gridCol w:w="3060"/>
        <w:gridCol w:w="3240"/>
      </w:tblGrid>
      <w:tr>
        <w:trPr/>
        <w:tc>
          <w:tcPr>
            <w:tcW w:w="3168" w:type="dxa"/>
            <w:tcBorders/>
          </w:tcPr>
          <w:p>
            <w:pPr>
              <w:pStyle w:val="Normal"/>
              <w:snapToGrid w:val="false"/>
              <w:jc w:val="center"/>
              <w:rPr>
                <w:b/>
                <w:bCs/>
              </w:rPr>
            </w:pPr>
            <w:r>
              <w:rPr>
                <w:b/>
                <w:bCs/>
              </w:rPr>
            </w:r>
          </w:p>
        </w:tc>
        <w:tc>
          <w:tcPr>
            <w:tcW w:w="3060" w:type="dxa"/>
            <w:tcBorders/>
          </w:tcPr>
          <w:p>
            <w:pPr>
              <w:pStyle w:val="Normal"/>
              <w:jc w:val="center"/>
              <w:rPr>
                <w:b/>
                <w:bCs/>
              </w:rPr>
            </w:pPr>
            <w:r>
              <w:rPr>
                <w:b/>
                <w:bCs/>
              </w:rPr>
              <w:t>Receipt Fee</w:t>
            </w:r>
          </w:p>
        </w:tc>
        <w:tc>
          <w:tcPr>
            <w:tcW w:w="3240" w:type="dxa"/>
            <w:tcBorders/>
          </w:tcPr>
          <w:p>
            <w:pPr>
              <w:pStyle w:val="Normal"/>
              <w:jc w:val="center"/>
              <w:rPr>
                <w:b/>
                <w:bCs/>
              </w:rPr>
            </w:pPr>
            <w:r>
              <w:rPr>
                <w:b/>
                <w:bCs/>
                <w:u w:val="single"/>
              </w:rPr>
              <w:t>Effective Date</w:t>
            </w:r>
          </w:p>
        </w:tc>
      </w:tr>
      <w:tr>
        <w:trPr/>
        <w:tc>
          <w:tcPr>
            <w:tcW w:w="3168" w:type="dxa"/>
            <w:tcBorders/>
          </w:tcPr>
          <w:p>
            <w:pPr>
              <w:pStyle w:val="Normal"/>
              <w:jc w:val="center"/>
              <w:rPr>
                <w:b/>
                <w:bCs/>
              </w:rPr>
            </w:pPr>
            <w:r>
              <w:rPr>
                <w:b/>
                <w:bCs/>
                <w:u w:val="single"/>
              </w:rPr>
              <w:t>Receipt Point Meter #</w:t>
            </w:r>
          </w:p>
        </w:tc>
        <w:tc>
          <w:tcPr>
            <w:tcW w:w="3060" w:type="dxa"/>
            <w:tcBorders/>
          </w:tcPr>
          <w:p>
            <w:pPr>
              <w:pStyle w:val="Normal"/>
              <w:jc w:val="center"/>
              <w:rPr>
                <w:b/>
                <w:bCs/>
              </w:rPr>
            </w:pPr>
            <w:r>
              <w:rPr>
                <w:b/>
                <w:bCs/>
                <w:u w:val="single"/>
              </w:rPr>
              <w:t>per MMBtu</w:t>
            </w:r>
          </w:p>
        </w:tc>
        <w:tc>
          <w:tcPr>
            <w:tcW w:w="3240" w:type="dxa"/>
            <w:tcBorders/>
          </w:tcPr>
          <w:p>
            <w:pPr>
              <w:pStyle w:val="Normal"/>
              <w:jc w:val="center"/>
              <w:rPr>
                <w:b/>
                <w:bCs/>
              </w:rPr>
            </w:pPr>
            <w:r>
              <w:rPr>
                <w:b/>
                <w:bCs/>
                <w:u w:val="single"/>
              </w:rPr>
              <w:t>Beginning</w:t>
            </w:r>
            <w:r>
              <w:rPr>
                <w:b/>
                <w:bCs/>
              </w:rPr>
              <w:tab/>
            </w:r>
            <w:r>
              <w:rPr>
                <w:b/>
                <w:bCs/>
                <w:u w:val="single"/>
              </w:rPr>
              <w:t>Ending</w:t>
            </w:r>
          </w:p>
        </w:tc>
      </w:tr>
      <w:tr>
        <w:trPr/>
        <w:tc>
          <w:tcPr>
            <w:tcW w:w="3168" w:type="dxa"/>
            <w:tcBorders/>
          </w:tcPr>
          <w:p>
            <w:pPr>
              <w:pStyle w:val="Normal"/>
              <w:jc w:val="center"/>
              <w:rPr>
                <w:u w:val="single"/>
              </w:rPr>
            </w:pPr>
            <w:r>
              <w:rPr>
                <w:u w:val="single"/>
              </w:rPr>
              <w:t>HPL Meter No. 9618</w:t>
            </w:r>
          </w:p>
        </w:tc>
        <w:tc>
          <w:tcPr>
            <w:tcW w:w="3060" w:type="dxa"/>
            <w:tcBorders/>
          </w:tcPr>
          <w:p>
            <w:pPr>
              <w:pStyle w:val="Heading5"/>
              <w:ind w:hanging="0" w:start="0"/>
              <w:rPr/>
            </w:pPr>
            <w:r>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6677</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4555</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HPL Meter No. 9617</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jc w:val="center"/>
              <w:rPr>
                <w:u w:val="single"/>
              </w:rPr>
            </w:pPr>
            <w:r>
              <w:rPr>
                <w:u w:val="single"/>
              </w:rPr>
              <w:t xml:space="preserve">HPL Meter No. </w:t>
            </w:r>
            <w:r>
              <w:rPr/>
              <w:t>____</w:t>
            </w:r>
          </w:p>
        </w:tc>
        <w:tc>
          <w:tcPr>
            <w:tcW w:w="3060" w:type="dxa"/>
            <w:tcBorders/>
          </w:tcPr>
          <w:p>
            <w:pPr>
              <w:pStyle w:val="Normal"/>
              <w:jc w:val="center"/>
              <w:rPr>
                <w:u w:val="single"/>
              </w:rPr>
            </w:pPr>
            <w:r>
              <w:rPr>
                <w:u w:val="single"/>
              </w:rPr>
              <w:t>See below</w:t>
            </w:r>
          </w:p>
        </w:tc>
        <w:tc>
          <w:tcPr>
            <w:tcW w:w="3240" w:type="dxa"/>
            <w:tcBorders/>
          </w:tcPr>
          <w:p>
            <w:pPr>
              <w:pStyle w:val="Normal"/>
              <w:jc w:val="center"/>
              <w:rPr>
                <w:u w:val="single"/>
              </w:rPr>
            </w:pPr>
            <w:r>
              <w:rPr>
                <w:u w:val="single"/>
              </w:rPr>
              <w:t>6/1/01-5/31/04</w:t>
            </w:r>
          </w:p>
        </w:tc>
      </w:tr>
      <w:tr>
        <w:trPr/>
        <w:tc>
          <w:tcPr>
            <w:tcW w:w="3168" w:type="dxa"/>
            <w:tcBorders/>
          </w:tcPr>
          <w:p>
            <w:pPr>
              <w:pStyle w:val="Normal"/>
              <w:snapToGrid w:val="false"/>
              <w:jc w:val="center"/>
              <w:rPr>
                <w:u w:val="single"/>
              </w:rPr>
            </w:pPr>
            <w:r>
              <w:rPr>
                <w:u w:val="single"/>
              </w:rPr>
            </w:r>
          </w:p>
        </w:tc>
        <w:tc>
          <w:tcPr>
            <w:tcW w:w="3060" w:type="dxa"/>
            <w:tcBorders/>
          </w:tcPr>
          <w:p>
            <w:pPr>
              <w:pStyle w:val="Normal"/>
              <w:snapToGrid w:val="false"/>
              <w:jc w:val="center"/>
              <w:rPr>
                <w:u w:val="single"/>
              </w:rPr>
            </w:pPr>
            <w:r>
              <w:rPr>
                <w:u w:val="single"/>
              </w:rPr>
            </w:r>
          </w:p>
        </w:tc>
        <w:tc>
          <w:tcPr>
            <w:tcW w:w="3240" w:type="dxa"/>
            <w:tcBorders/>
          </w:tcPr>
          <w:p>
            <w:pPr>
              <w:pStyle w:val="Normal"/>
              <w:snapToGrid w:val="false"/>
              <w:jc w:val="center"/>
              <w:rPr/>
            </w:pPr>
            <w:r>
              <w:rPr/>
            </w:r>
          </w:p>
        </w:tc>
      </w:tr>
      <w:tr>
        <w:trPr/>
        <w:tc>
          <w:tcPr>
            <w:tcW w:w="3168" w:type="dxa"/>
            <w:tcBorders/>
          </w:tcPr>
          <w:p>
            <w:pPr>
              <w:pStyle w:val="Normal"/>
              <w:snapToGrid w:val="false"/>
              <w:jc w:val="center"/>
              <w:rPr>
                <w:b/>
                <w:bCs/>
              </w:rPr>
            </w:pPr>
            <w:r>
              <w:rPr>
                <w:b/>
                <w:bCs/>
              </w:rPr>
            </w:r>
          </w:p>
        </w:tc>
        <w:tc>
          <w:tcPr>
            <w:tcW w:w="3060" w:type="dxa"/>
            <w:tcBorders/>
          </w:tcPr>
          <w:p>
            <w:pPr>
              <w:pStyle w:val="Normal"/>
              <w:snapToGrid w:val="false"/>
              <w:jc w:val="center"/>
              <w:rPr>
                <w:b/>
                <w:bCs/>
              </w:rPr>
            </w:pPr>
            <w:r>
              <w:rPr>
                <w:b/>
                <w:bCs/>
              </w:rPr>
            </w:r>
          </w:p>
        </w:tc>
        <w:tc>
          <w:tcPr>
            <w:tcW w:w="3240" w:type="dxa"/>
            <w:tcBorders/>
          </w:tcPr>
          <w:p>
            <w:pPr>
              <w:pStyle w:val="Normal"/>
              <w:jc w:val="center"/>
              <w:rPr>
                <w:b/>
                <w:bCs/>
              </w:rPr>
            </w:pPr>
            <w:r>
              <w:rPr>
                <w:b/>
                <w:bCs/>
                <w:u w:val="single"/>
              </w:rPr>
              <w:t>Effective Date</w:t>
            </w:r>
          </w:p>
        </w:tc>
      </w:tr>
      <w:tr>
        <w:trPr/>
        <w:tc>
          <w:tcPr>
            <w:tcW w:w="3168" w:type="dxa"/>
            <w:tcBorders/>
          </w:tcPr>
          <w:p>
            <w:pPr>
              <w:pStyle w:val="Normal"/>
              <w:jc w:val="center"/>
              <w:rPr>
                <w:b/>
                <w:bCs/>
                <w:u w:val="single"/>
              </w:rPr>
            </w:pPr>
            <w:r>
              <w:rPr>
                <w:b/>
                <w:bCs/>
                <w:u w:val="single"/>
              </w:rPr>
              <w:t>Delivery Point Meter #</w:t>
            </w:r>
          </w:p>
        </w:tc>
        <w:tc>
          <w:tcPr>
            <w:tcW w:w="3060" w:type="dxa"/>
            <w:tcBorders/>
          </w:tcPr>
          <w:p>
            <w:pPr>
              <w:pStyle w:val="Normal"/>
              <w:snapToGrid w:val="false"/>
              <w:jc w:val="center"/>
              <w:rPr>
                <w:b/>
                <w:bCs/>
                <w:u w:val="single"/>
              </w:rPr>
            </w:pPr>
            <w:r>
              <w:rPr>
                <w:b/>
                <w:bCs/>
                <w:u w:val="single"/>
              </w:rPr>
            </w:r>
          </w:p>
        </w:tc>
        <w:tc>
          <w:tcPr>
            <w:tcW w:w="3240" w:type="dxa"/>
            <w:tcBorders/>
          </w:tcPr>
          <w:p>
            <w:pPr>
              <w:pStyle w:val="Normal"/>
              <w:jc w:val="center"/>
              <w:rPr/>
            </w:pPr>
            <w:r>
              <w:rPr>
                <w:b/>
                <w:bCs/>
                <w:u w:val="single"/>
              </w:rPr>
              <w:t>Beginning</w:t>
            </w:r>
            <w:r>
              <w:rPr>
                <w:b/>
                <w:bCs/>
              </w:rPr>
              <w:tab/>
            </w:r>
            <w:r>
              <w:rPr>
                <w:b/>
                <w:bCs/>
                <w:u w:val="single"/>
              </w:rPr>
              <w:t>Ending</w:t>
            </w:r>
          </w:p>
        </w:tc>
      </w:tr>
      <w:tr>
        <w:trPr/>
        <w:tc>
          <w:tcPr>
            <w:tcW w:w="3168" w:type="dxa"/>
            <w:tcBorders/>
          </w:tcPr>
          <w:p>
            <w:pPr>
              <w:pStyle w:val="Normal"/>
              <w:jc w:val="center"/>
              <w:rPr>
                <w:u w:val="single"/>
              </w:rPr>
            </w:pPr>
            <w:r>
              <w:rPr>
                <w:u w:val="single"/>
              </w:rPr>
              <w:t xml:space="preserve">HPL Meter No. </w:t>
            </w:r>
            <w:r>
              <w:rPr/>
              <w:t>____</w:t>
            </w:r>
          </w:p>
        </w:tc>
        <w:tc>
          <w:tcPr>
            <w:tcW w:w="3060" w:type="dxa"/>
            <w:tcBorders/>
          </w:tcPr>
          <w:p>
            <w:pPr>
              <w:pStyle w:val="Normal"/>
              <w:jc w:val="center"/>
              <w:rPr>
                <w:u w:val="single"/>
              </w:rPr>
            </w:pPr>
            <w:r>
              <w:rPr>
                <w:u w:val="single"/>
              </w:rPr>
              <w:t xml:space="preserve">No Fee Assessed </w:t>
            </w:r>
          </w:p>
        </w:tc>
        <w:tc>
          <w:tcPr>
            <w:tcW w:w="3240" w:type="dxa"/>
            <w:tcBorders/>
          </w:tcPr>
          <w:p>
            <w:pPr>
              <w:pStyle w:val="Normal"/>
              <w:jc w:val="center"/>
              <w:rPr>
                <w:u w:val="single"/>
              </w:rPr>
            </w:pPr>
            <w:r>
              <w:rPr>
                <w:u w:val="single"/>
              </w:rPr>
              <w:t>6/1/01-5/31/04</w:t>
            </w:r>
          </w:p>
        </w:tc>
      </w:tr>
    </w:tbl>
    <w:p>
      <w:pPr>
        <w:pStyle w:val="Normal"/>
        <w:tabs>
          <w:tab w:val="clear" w:pos="720"/>
          <w:tab w:val="left" w:pos="4176" w:leader="none"/>
          <w:tab w:val="left" w:pos="6768" w:leader="none"/>
        </w:tabs>
        <w:rPr/>
      </w:pPr>
      <w:r>
        <w:rPr/>
      </w:r>
    </w:p>
    <w:p>
      <w:pPr>
        <w:pStyle w:val="Normal"/>
        <w:tabs>
          <w:tab w:val="clear" w:pos="720"/>
          <w:tab w:val="left" w:pos="4176" w:leader="none"/>
          <w:tab w:val="left" w:pos="6768" w:leader="none"/>
        </w:tabs>
        <w:rPr>
          <w:b/>
          <w:bCs/>
        </w:rPr>
      </w:pPr>
      <w:r>
        <w:rPr>
          <w:b/>
          <w:bCs/>
        </w:rPr>
        <w:t>FEES:</w:t>
      </w:r>
    </w:p>
    <w:p>
      <w:pPr>
        <w:pStyle w:val="Normal"/>
        <w:tabs>
          <w:tab w:val="clear" w:pos="720"/>
          <w:tab w:val="left" w:pos="4176" w:leader="none"/>
          <w:tab w:val="left" w:pos="6768" w:leader="none"/>
        </w:tabs>
        <w:rPr>
          <w:b/>
          <w:bCs/>
        </w:rPr>
      </w:pPr>
      <w:r>
        <w:rPr>
          <w:b/>
          <w:bCs/>
        </w:rPr>
      </w:r>
    </w:p>
    <w:p>
      <w:pPr>
        <w:pStyle w:val="Normal"/>
        <w:tabs>
          <w:tab w:val="clear" w:pos="720"/>
          <w:tab w:val="left" w:pos="4176" w:leader="none"/>
          <w:tab w:val="left" w:pos="6768" w:leader="none"/>
        </w:tabs>
        <w:jc w:val="both"/>
        <w:rPr/>
      </w:pPr>
      <w:r>
        <w:rPr/>
        <w:t xml:space="preserve">As used herein, the term "Monthly Average Quantity" means, with respect to each Receipt Point, the number of MMBTU's of Gas delivered by Shipper at such Receipt Point during a Month divided by the number of days in that Month. </w:t>
      </w:r>
    </w:p>
    <w:p>
      <w:pPr>
        <w:pStyle w:val="Normal"/>
        <w:tabs>
          <w:tab w:val="clear" w:pos="720"/>
          <w:tab w:val="left" w:pos="4176" w:leader="none"/>
          <w:tab w:val="left" w:pos="6768" w:leader="none"/>
        </w:tabs>
        <w:jc w:val="both"/>
        <w:rPr/>
      </w:pPr>
      <w:r>
        <w:rPr/>
      </w:r>
    </w:p>
    <w:p>
      <w:pPr>
        <w:pStyle w:val="Normal"/>
        <w:tabs>
          <w:tab w:val="clear" w:pos="720"/>
          <w:tab w:val="left" w:pos="4176" w:leader="none"/>
          <w:tab w:val="left" w:pos="6768" w:leader="none"/>
        </w:tabs>
        <w:jc w:val="both"/>
        <w:rPr/>
      </w:pPr>
      <w:r>
        <w:rPr/>
        <w:t xml:space="preserve">If Shipper delivers to Gulf Coast during a Month less than 1 MMBtu of Gas at a given Receipt Point, then no monthly fee shall be payable by Shipper with respect to such Receipt Point for said Month. </w:t>
      </w:r>
    </w:p>
    <w:p>
      <w:pPr>
        <w:pStyle w:val="Normal"/>
        <w:tabs>
          <w:tab w:val="clear" w:pos="720"/>
          <w:tab w:val="left" w:pos="4176" w:leader="none"/>
          <w:tab w:val="left" w:pos="6768" w:leader="none"/>
        </w:tabs>
        <w:jc w:val="both"/>
        <w:rPr/>
      </w:pPr>
      <w:r>
        <w:rPr/>
      </w:r>
    </w:p>
    <w:p>
      <w:pPr>
        <w:pStyle w:val="Normal"/>
        <w:tabs>
          <w:tab w:val="clear" w:pos="720"/>
          <w:tab w:val="left" w:pos="4176" w:leader="none"/>
          <w:tab w:val="left" w:pos="6768" w:leader="none"/>
        </w:tabs>
        <w:jc w:val="both"/>
        <w:rPr/>
      </w:pPr>
      <w:r>
        <w:rPr/>
        <w:t>For each Receipt Point at which Shipper delivers to Gulf Coast during a Month greater than 1 MMBTU but less than a Monthly Average Quantity of 500 MMBtu per Day, Shipper shall pay Gulf Coast the greater of: (i) $3,000.00; or (ii) $0.60 per MMBTU times the number of MMBTUs delivered at said Receipt Point during said Month.  Notwithstanding the foregoing, Shipper shall not be obligated to pay the minimum amount specified in (i) above (but shall pay only the amount specified in (ii) above) with respect to a Receipt Point if Gulf Coast interrupts transportation service at such Receipt Point (other than because of a breach of this agreement by Shipper) and such interruption causes Shipper's inability to deliver a Monthly Average Quantity greater than or equal to 500 MMBtu per Day during such Month at such Receipt Point.</w:t>
      </w:r>
    </w:p>
    <w:p>
      <w:pPr>
        <w:pStyle w:val="Normal"/>
        <w:tabs>
          <w:tab w:val="clear" w:pos="720"/>
          <w:tab w:val="left" w:pos="4176" w:leader="none"/>
          <w:tab w:val="left" w:pos="6768" w:leader="none"/>
        </w:tabs>
        <w:jc w:val="both"/>
        <w:rPr/>
      </w:pPr>
      <w:r>
        <w:rPr/>
        <w:t xml:space="preserve"> </w:t>
      </w:r>
    </w:p>
    <w:p>
      <w:pPr>
        <w:pStyle w:val="Normal"/>
        <w:tabs>
          <w:tab w:val="clear" w:pos="720"/>
          <w:tab w:val="left" w:pos="4176" w:leader="none"/>
          <w:tab w:val="left" w:pos="6768" w:leader="none"/>
        </w:tabs>
        <w:jc w:val="both"/>
        <w:rPr/>
      </w:pPr>
      <w:r>
        <w:rPr/>
        <w:t xml:space="preserve">For each Receipt Point at which Shipper delivers to Gulf Coast during a Month a Monthly Average Quantity greater than or equal to 500 MMBtu per Day but less than 1000 MMBtu per Day, Shipper shall pay Gulf Coast (i) $0.35 per MMBTU, times (ii) the number of MMBTUs delivered at such Receipt Point during such Month.  </w:t>
      </w:r>
    </w:p>
    <w:p>
      <w:pPr>
        <w:pStyle w:val="Normal"/>
        <w:tabs>
          <w:tab w:val="clear" w:pos="720"/>
          <w:tab w:val="left" w:pos="4176" w:leader="none"/>
          <w:tab w:val="left" w:pos="6768" w:leader="none"/>
        </w:tabs>
        <w:jc w:val="both"/>
        <w:rPr/>
      </w:pPr>
      <w:r>
        <w:rPr/>
      </w:r>
    </w:p>
    <w:p>
      <w:pPr>
        <w:pStyle w:val="Normal"/>
        <w:jc w:val="both"/>
        <w:rPr/>
      </w:pPr>
      <w:r>
        <w:rPr/>
        <w:t xml:space="preserve">For each Receipt Point at which Shipper delivers to Gulf Coast during a Month a Monthly Average Quantity greater than or equal to 1,000 MMBtu per Day, Shipper shall pay Gulf Coast (i) $0.25 per MMBTU, times (ii) the number of MMBTUs delivered at such Receipt Point during such Month.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5">
    <w:name w:val="heading 5"/>
    <w:basedOn w:val="Normal"/>
    <w:next w:val="Normal"/>
    <w:qFormat/>
    <w:pPr>
      <w:keepNext w:val="true"/>
      <w:numPr>
        <w:ilvl w:val="4"/>
        <w:numId w:val="1"/>
      </w:numPr>
      <w:spacing w:lineRule="atLeast" w:line="240"/>
      <w:jc w:val="center"/>
      <w:outlineLvl w:val="4"/>
    </w:pPr>
    <w:rPr>
      <w:sz w:val="26"/>
      <w:szCs w:val="2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2001-04-11T18:22:00Z</dcterms:created>
  <dc:creator>egillas</dc:creator>
  <dc:description/>
  <dc:language>en-CA</dc:language>
  <cp:lastModifiedBy>egillas</cp:lastModifiedBy>
  <dcterms:modified xsi:type="dcterms:W3CDTF">2001-04-11T19:00:00Z</dcterms:modified>
  <cp:revision>2</cp:revision>
  <dc:subject/>
  <dc:title>EXHIBIT "C"</dc:title>
</cp:coreProperties>
</file>