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9441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9631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Tim Anthony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Knippa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Compression Services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Electric Compression – FGT Station 13</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ind w:start="720" w:end="540"/>
        <w:jc w:val="both"/>
        <w:rPr>
          <w:sz w:val="22"/>
        </w:rPr>
      </w:pPr>
      <w:r>
        <w:rPr>
          <w:sz w:val="22"/>
        </w:rPr>
        <w:t xml:space="preserve">As you know, Enron Compression Services (ECS) developed the opportunity with Florida Gas Transmission (FGT) that would utilize electric motor driven horsepower through contractual arrangements to satisfy the natural gas compression requirements associated with the Phase V expansion at the Station 13 near Caryville, Florida.  ECS responded to a request by Florida Gas Transmission for shaft horsepower at station 13 (Caryville), station 14 (Quincy), station 24 (Trenton) and station 26 (Lecanto) in November of 1998.  Electric generation and T&amp;D services were identified utilizing a Directory of Electric Power Producers and Distributors for the year 2000.   </w:t>
      </w:r>
    </w:p>
    <w:p>
      <w:pPr>
        <w:pStyle w:val="Body"/>
        <w:ind w:start="720" w:end="540"/>
        <w:jc w:val="both"/>
        <w:rPr>
          <w:sz w:val="22"/>
        </w:rPr>
      </w:pPr>
      <w:r>
        <w:rPr>
          <w:sz w:val="22"/>
        </w:rPr>
      </w:r>
    </w:p>
    <w:p>
      <w:pPr>
        <w:pStyle w:val="Body"/>
        <w:ind w:start="720" w:end="540"/>
        <w:jc w:val="both"/>
        <w:rPr>
          <w:sz w:val="22"/>
        </w:rPr>
      </w:pPr>
      <w:r>
        <w:rPr>
          <w:sz w:val="22"/>
        </w:rPr>
        <w:t>In December of 1998, FGT’s economic decision eliminated two of the potential electric drive projects and turned their focus on reliability of the electric infrastructure.   An analysis of the generation and transmission infrastructure was prepared to demonstrate the overall electrical supply reliability and optionality.  The result was the opportunity to pursue the compression requirements at Station 13.</w:t>
      </w:r>
    </w:p>
    <w:p>
      <w:pPr>
        <w:pStyle w:val="Body"/>
        <w:ind w:start="720" w:end="540"/>
        <w:jc w:val="both"/>
        <w:rPr>
          <w:sz w:val="22"/>
        </w:rPr>
      </w:pPr>
      <w:r>
        <w:rPr>
          <w:sz w:val="22"/>
        </w:rPr>
      </w:r>
    </w:p>
    <w:p>
      <w:pPr>
        <w:pStyle w:val="Body"/>
        <w:ind w:start="720" w:end="540"/>
        <w:jc w:val="both"/>
        <w:rPr>
          <w:sz w:val="22"/>
        </w:rPr>
      </w:pPr>
      <w:r>
        <w:rPr>
          <w:sz w:val="22"/>
        </w:rPr>
        <w:t xml:space="preserve">During the economic analysis of the Compression Service proposals, West Florida Electric Coop Assoc. (WFEC) was identified as being the current supplier of distribution voltage at station 13.  WFEC was identified as an electric distribution company and Gulf Power was identified as an electric generation and T&amp;D service company both serving Washington County, Florida.  West Florida West Florida was contacted at (850) 263-3231 to determine if they could provide the transmission voltage and system reliability needed for product required by FGT.    </w:t>
      </w:r>
    </w:p>
    <w:p>
      <w:pPr>
        <w:pStyle w:val="Body"/>
        <w:ind w:start="720" w:end="540"/>
        <w:jc w:val="both"/>
        <w:rPr>
          <w:sz w:val="22"/>
        </w:rPr>
      </w:pPr>
      <w:r>
        <w:rPr>
          <w:sz w:val="22"/>
        </w:rPr>
      </w:r>
    </w:p>
    <w:p>
      <w:pPr>
        <w:pStyle w:val="Body"/>
        <w:ind w:start="720" w:end="540"/>
        <w:jc w:val="both"/>
        <w:rPr>
          <w:sz w:val="22"/>
        </w:rPr>
      </w:pPr>
      <w:r>
        <w:rPr>
          <w:sz w:val="22"/>
        </w:rPr>
        <w:t>The Reliability Study gathered information pertaining to generation and transmission infrastructure, background information on utilities and the respective areas of interest, specific equipment configuration and optionality to be considered in a post-deregulation environment.  Relative to station 13, the study also demonstrated the potential pooling of Gulf Power and Southern Company’s generation resources utilizing the 230 kV line connection to their extensive transmission grid.  The high probability development of new generation in FRCC demonstrated another 9,040 MW by 2002 and net generation additions within SERC that were projected to reach 22,497 MW between 1998 and 2007.</w:t>
      </w:r>
    </w:p>
    <w:p>
      <w:pPr>
        <w:pStyle w:val="Body"/>
        <w:ind w:start="720" w:end="540"/>
        <w:jc w:val="both"/>
        <w:rPr>
          <w:sz w:val="22"/>
        </w:rPr>
      </w:pPr>
      <w:r>
        <w:rPr>
          <w:sz w:val="22"/>
        </w:rPr>
      </w:r>
    </w:p>
    <w:p>
      <w:pPr>
        <w:pStyle w:val="Body"/>
        <w:ind w:start="720" w:end="540"/>
        <w:jc w:val="both"/>
        <w:rPr>
          <w:sz w:val="22"/>
        </w:rPr>
      </w:pPr>
      <w:r>
        <w:rPr>
          <w:sz w:val="22"/>
        </w:rPr>
        <w:t xml:space="preserve">FGT’s decision was to proceed with the electric drive system at station 13 despite alternative locations with similar overall pricing for the compression service package.  The decision to proceed was limited until FGT was able to receive at least a preliminary determination toward the FERC filing involving the proposed expansion project.  In late November 2000, FGT notified ECS that they were in receipt of a favorable preliminary determination from the FERC and that we were authorized to proceed with the construction of electrical infrastructure and the power supply agreements for the compression load at station 13.  </w:t>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t xml:space="preserve">Also in late November 2000, Jim Brook of Alabama Electric Cooperative (AEC) contacted ECS via phone call on behalf of WFEC representing their interest in providing electric service to the new compression load.  On December 7, 2000 ECS provided Jim via email with the peak load and anticipated load profile of the electric motor driven compressors planned for station 13.  ECS did not have information relative to the names of generation plant that the pipeline expansion was contracted to serve.  Jim was also informed that ECS was expecting to formalize arrangements for electrical service very soon and that ECS needed a hint of what WFEC might propose.   </w:t>
      </w:r>
    </w:p>
    <w:p>
      <w:pPr>
        <w:pStyle w:val="Body"/>
        <w:ind w:start="720" w:end="540"/>
        <w:jc w:val="both"/>
        <w:rPr>
          <w:sz w:val="22"/>
        </w:rPr>
      </w:pPr>
      <w:r>
        <w:rPr>
          <w:sz w:val="22"/>
        </w:rPr>
      </w:r>
    </w:p>
    <w:p>
      <w:pPr>
        <w:pStyle w:val="Body"/>
        <w:ind w:start="720" w:end="540"/>
        <w:jc w:val="both"/>
        <w:rPr>
          <w:sz w:val="22"/>
        </w:rPr>
      </w:pPr>
      <w:r>
        <w:rPr>
          <w:sz w:val="22"/>
        </w:rPr>
        <w:t xml:space="preserve">On December 20, 2000 Jim Brook provided an email to ECS apologizing for the delay in their response and indicated that he was awaiting clearance from WFEC.  More information was represented to be forthcoming at the earliest possible date.  On or about January 10, 2001, ECS received a letter dated December 27, 2000 from William Rimes of WFEC requesting a copy of ECS’s specifications.  ECS was of the understanding that Jim Brook had the basic information needed to provide rate and basic infrastructure requirements to service the proposed electric compressor load.  </w:t>
      </w:r>
    </w:p>
    <w:p>
      <w:pPr>
        <w:pStyle w:val="Body"/>
        <w:ind w:start="720" w:end="540"/>
        <w:jc w:val="both"/>
        <w:rPr>
          <w:sz w:val="22"/>
        </w:rPr>
      </w:pPr>
      <w:r>
        <w:rPr>
          <w:sz w:val="22"/>
        </w:rPr>
      </w:r>
    </w:p>
    <w:p>
      <w:pPr>
        <w:pStyle w:val="Body"/>
        <w:ind w:start="720" w:end="540"/>
        <w:jc w:val="both"/>
        <w:rPr>
          <w:sz w:val="22"/>
        </w:rPr>
      </w:pPr>
      <w:r>
        <w:rPr>
          <w:sz w:val="22"/>
        </w:rPr>
        <w:t xml:space="preserve">On January 12, 2001 ECS received a second letter from Gary Clark of WFEC indicating that our intentional failure to respond to their request for specifications demonstrated our intention to request service from Gulf Power.  The letter went on to provide notice to ECS that should Gulf Power go forward with any plans or construction to service the facility that WFEC would be forced to call on the Florida Public Service Commission to resolve a territorial dispute with Gulf Power.  </w:t>
      </w:r>
    </w:p>
    <w:p>
      <w:pPr>
        <w:pStyle w:val="Body"/>
        <w:ind w:start="720" w:end="540"/>
        <w:jc w:val="both"/>
        <w:rPr>
          <w:sz w:val="22"/>
        </w:rPr>
      </w:pPr>
      <w:r>
        <w:rPr>
          <w:sz w:val="22"/>
        </w:rPr>
      </w:r>
    </w:p>
    <w:p>
      <w:pPr>
        <w:pStyle w:val="Body"/>
        <w:ind w:start="720" w:end="540"/>
        <w:jc w:val="both"/>
        <w:rPr>
          <w:sz w:val="22"/>
        </w:rPr>
      </w:pPr>
      <w:r>
        <w:rPr>
          <w:sz w:val="22"/>
        </w:rPr>
        <w:t xml:space="preserve">At this point ECS felt we were not only well into our negotiations with Gulf Power but that WFEC had provided no information relative to tariff structures, pricing, transmission voltage availability, and distances required to connect to the WFEC transmission infrastructure.  </w:t>
      </w:r>
    </w:p>
    <w:p>
      <w:pPr>
        <w:pStyle w:val="Body"/>
        <w:ind w:start="720" w:end="540"/>
        <w:jc w:val="both"/>
        <w:rPr>
          <w:sz w:val="22"/>
        </w:rPr>
      </w:pPr>
      <w:r>
        <w:rPr>
          <w:sz w:val="22"/>
        </w:rPr>
      </w:r>
    </w:p>
    <w:p>
      <w:pPr>
        <w:pStyle w:val="Body"/>
        <w:ind w:start="720" w:end="540"/>
        <w:jc w:val="both"/>
        <w:rPr>
          <w:sz w:val="22"/>
        </w:rPr>
      </w:pPr>
      <w:r>
        <w:rPr>
          <w:sz w:val="22"/>
        </w:rPr>
        <w:t xml:space="preserve">Currently, our joint focus is to ensure that the new infrastructure needed to provide the transmission grade electrical service to this location is completed 30 to 60 days prior to the April 1, 2002 in-service requirement.  This schedule will allow for the required testing and start-up procedures outlined by the Engineering, Construction and Operating groups.  At this time, ECS has executed a retail pricing structure for the purchase of electrical power and entered into an infrastructure agreement to support the investment being developed by Gulf Power.  </w:t>
      </w:r>
    </w:p>
    <w:p>
      <w:pPr>
        <w:pStyle w:val="Body"/>
        <w:ind w:start="720" w:end="540"/>
        <w:jc w:val="both"/>
        <w:rPr>
          <w:sz w:val="22"/>
        </w:rPr>
      </w:pPr>
      <w:r>
        <w:rPr>
          <w:sz w:val="22"/>
        </w:rPr>
      </w:r>
    </w:p>
    <w:p>
      <w:pPr>
        <w:pStyle w:val="Body"/>
        <w:ind w:start="720" w:end="540"/>
        <w:jc w:val="both"/>
        <w:rPr>
          <w:sz w:val="22"/>
        </w:rPr>
      </w:pPr>
      <w:r>
        <w:rPr>
          <w:sz w:val="22"/>
        </w:rPr>
        <w:t>At this time, ECS is agreeable with the concept of approaching the Florida Public Service Commission with Gulf Power to demonstrate the process and decision to secure electrical service from and through Gulf Power for the new compression requirements adjacent to FGT’s station 13 specifically known as station 13A.</w:t>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r>
    </w:p>
    <w:p>
      <w:pPr>
        <w:pStyle w:val="Body"/>
        <w:ind w:start="720" w:end="540"/>
        <w:jc w:val="both"/>
        <w:rPr>
          <w:sz w:val="22"/>
        </w:rPr>
      </w:pPr>
      <w:r>
        <w:rPr>
          <w:sz w:val="22"/>
        </w:rPr>
        <w:t xml:space="preserve">Cc:  J.T. Young </w:t>
      </w:r>
    </w:p>
    <w:p>
      <w:pPr>
        <w:pStyle w:val="Body"/>
        <w:ind w:start="720" w:end="540"/>
        <w:jc w:val="both"/>
        <w:rPr>
          <w:sz w:val="22"/>
        </w:rPr>
      </w:pPr>
      <w:r>
        <w:rPr>
          <w:rFonts w:eastAsia="Arial"/>
          <w:sz w:val="22"/>
        </w:rPr>
        <w:t xml:space="preserve">        </w:t>
      </w:r>
      <w:r>
        <w:rPr>
          <w:sz w:val="22"/>
        </w:rPr>
        <w:t xml:space="preserve">Jeff Stone  </w:t>
      </w:r>
    </w:p>
    <w:p>
      <w:pPr>
        <w:pStyle w:val="Body"/>
        <w:ind w:start="720" w:end="540"/>
        <w:jc w:val="both"/>
        <w:rPr>
          <w:sz w:val="22"/>
        </w:rPr>
      </w:pPr>
      <w:r>
        <w:rPr>
          <w:rFonts w:eastAsia="Arial"/>
          <w:sz w:val="22"/>
        </w:rPr>
        <w:t xml:space="preserve">        </w:t>
      </w:r>
      <w:r>
        <w:rPr>
          <w:sz w:val="22"/>
        </w:rPr>
        <w:t>Gerald Nemec</w:t>
      </w:r>
    </w:p>
    <w:p>
      <w:pPr>
        <w:pStyle w:val="Body"/>
        <w:ind w:start="720" w:end="540"/>
        <w:jc w:val="both"/>
        <w:rPr>
          <w:sz w:val="22"/>
        </w:rPr>
      </w:pPr>
      <w:r>
        <w:rPr>
          <w:rFonts w:eastAsia="Arial"/>
          <w:sz w:val="22"/>
        </w:rPr>
        <w:t xml:space="preserve">        </w:t>
      </w:r>
      <w:r>
        <w:rPr>
          <w:sz w:val="22"/>
        </w:rPr>
        <w:t xml:space="preserve">Chris Hilgert </w:t>
      </w:r>
    </w:p>
    <w:p>
      <w:pPr>
        <w:pStyle w:val="Body"/>
        <w:ind w:start="720" w:end="540"/>
        <w:jc w:val="both"/>
        <w:rPr>
          <w:sz w:val="22"/>
        </w:rPr>
      </w:pPr>
      <w:r>
        <w:rPr>
          <w:sz w:val="22"/>
        </w:rPr>
      </w:r>
    </w:p>
    <w:p>
      <w:pPr>
        <w:pStyle w:val="CopyList"/>
        <w:ind w:start="720" w:end="540"/>
        <w:jc w:val="both"/>
        <w:rPr>
          <w:sz w:val="22"/>
        </w:rPr>
      </w:pPr>
      <w:r>
        <w:rPr>
          <w:sz w:val="22"/>
        </w:rPr>
      </w:r>
    </w:p>
    <w:p>
      <w:pPr>
        <w:pStyle w:val="Normal"/>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Department">
    <w:name w:val="Department"/>
    <w:basedOn w:val="Normal"/>
    <w:qFormat/>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CopyList">
    <w:name w:val="CopyList"/>
    <w:basedOn w:val="Normal"/>
    <w:qFormat/>
    <w:pPr>
      <w:tabs>
        <w:tab w:val="clear" w:pos="720"/>
        <w:tab w:val="left" w:pos="504" w:leader="none"/>
      </w:tabs>
      <w:spacing w:before="360" w:after="0"/>
      <w:ind w:hanging="504" w:start="576" w:end="0"/>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2001-02-13T13:38:00Z</dcterms:created>
  <dc:creator>mknippa</dc:creator>
  <dc:description/>
  <dc:language>en-CA</dc:language>
  <cp:lastModifiedBy>mknippa</cp:lastModifiedBy>
  <cp:lastPrinted>2001-02-14T16:52:00Z</cp:lastPrinted>
  <dcterms:modified xsi:type="dcterms:W3CDTF">2001-02-14T20:34:00Z</dcterms:modified>
  <cp:revision>7</cp:revision>
  <dc:subject/>
  <dc:title> </dc:title>
</cp:coreProperties>
</file>