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9441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9631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Tim Anthony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Knippa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Compression Services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Electric Compression – FGT Station 13</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ind w:start="720" w:end="540"/>
        <w:jc w:val="both"/>
        <w:rPr>
          <w:sz w:val="22"/>
        </w:rPr>
      </w:pPr>
      <w:r>
        <w:rPr>
          <w:sz w:val="22"/>
        </w:rPr>
        <w:t xml:space="preserve">As you know, Enron Compression Services (ECS) developed the opportunity with Florida Gas Transmission (FGT) that would utilize electric motor driven horsepower through contractual arrangements to satisfy the natural gas compression requirements associated with the Phase V expansion at the Station 13 near Caryville, Florida.  ECS responded to a request by Florida Gas Transmission for shaft horsepower at station 13 (Caryville), station 14 (Quincy), station 24 (Trenton) and station 26 (Lecanto) in November of 1998.  </w:t>
      </w:r>
    </w:p>
    <w:p>
      <w:pPr>
        <w:pStyle w:val="Body"/>
        <w:ind w:start="720" w:end="540"/>
        <w:jc w:val="both"/>
        <w:rPr>
          <w:sz w:val="22"/>
        </w:rPr>
      </w:pPr>
      <w:r>
        <w:rPr>
          <w:sz w:val="22"/>
        </w:rPr>
      </w:r>
    </w:p>
    <w:p>
      <w:pPr>
        <w:pStyle w:val="Body"/>
        <w:ind w:start="720" w:end="540"/>
        <w:jc w:val="both"/>
        <w:rPr>
          <w:sz w:val="22"/>
        </w:rPr>
      </w:pPr>
      <w:r>
        <w:rPr>
          <w:sz w:val="22"/>
        </w:rPr>
        <w:t xml:space="preserve">In December of 1998, FGT’s economic decision eliminated two of the potential electric drive projects and turned their focus on reliability of the electric infrastructure.   An analysis of the generation and transmission infrastructure was prepared to demonstrate the overall electrical supply reliability and optionality. </w:t>
      </w:r>
    </w:p>
    <w:p>
      <w:pPr>
        <w:pStyle w:val="Body"/>
        <w:ind w:start="720" w:end="540"/>
        <w:jc w:val="both"/>
        <w:rPr>
          <w:sz w:val="22"/>
        </w:rPr>
      </w:pPr>
      <w:r>
        <w:rPr>
          <w:sz w:val="22"/>
        </w:rPr>
      </w:r>
    </w:p>
    <w:p>
      <w:pPr>
        <w:pStyle w:val="Body"/>
        <w:ind w:start="720" w:end="540"/>
        <w:jc w:val="both"/>
        <w:rPr>
          <w:sz w:val="22"/>
        </w:rPr>
      </w:pPr>
      <w:r>
        <w:rPr>
          <w:sz w:val="22"/>
        </w:rPr>
        <w:t xml:space="preserve">Key points of interest with the pipeline included Gulf Power’s proven history as a net annual exporter of power to FRCC utilities between 1990 ant 1997.  Additional development of new generation in FRCC was demonstrating another 9,040 MW by 2002 and net generation additions within SERC were projected to reach 22,497 MW between 1998 and 2007.  </w:t>
      </w:r>
    </w:p>
    <w:p>
      <w:pPr>
        <w:pStyle w:val="Body"/>
        <w:ind w:start="720" w:end="540"/>
        <w:jc w:val="both"/>
        <w:rPr>
          <w:sz w:val="22"/>
        </w:rPr>
      </w:pPr>
      <w:r>
        <w:rPr>
          <w:sz w:val="22"/>
        </w:rPr>
      </w:r>
    </w:p>
    <w:p>
      <w:pPr>
        <w:pStyle w:val="Body"/>
        <w:ind w:start="720" w:end="540"/>
        <w:jc w:val="both"/>
        <w:rPr>
          <w:sz w:val="22"/>
        </w:rPr>
      </w:pPr>
      <w:r>
        <w:rPr>
          <w:sz w:val="22"/>
        </w:rPr>
        <w:t xml:space="preserve">The Reliability Study emphasized the potential pooling of Southern Company’s generation resources in addition to a 230 kV line connection to their extensive transmission grid.  Additional support was provided by the buildup of generation in the FRCC region that should displace generation capacity currently flowing from the SERC region.  Gulf Power also has a strong history of maintaining firm industrial customers instead of imposing an interruption.   </w:t>
      </w:r>
    </w:p>
    <w:p>
      <w:pPr>
        <w:pStyle w:val="Body"/>
        <w:ind w:start="720" w:end="540"/>
        <w:jc w:val="both"/>
        <w:rPr>
          <w:sz w:val="22"/>
        </w:rPr>
      </w:pPr>
      <w:r>
        <w:rPr>
          <w:sz w:val="22"/>
        </w:rPr>
      </w:r>
    </w:p>
    <w:p>
      <w:pPr>
        <w:pStyle w:val="Body"/>
        <w:ind w:start="720" w:end="540"/>
        <w:jc w:val="both"/>
        <w:rPr>
          <w:sz w:val="22"/>
        </w:rPr>
      </w:pPr>
      <w:r>
        <w:rPr>
          <w:sz w:val="22"/>
        </w:rPr>
        <w:t>Currently, our joint focus is to ensure that the new infrastructure needed to provide the transmission grade electrical service to this location is completed 30 to 60 days prior to the April 1, 2002 in-service requirement.  This schedule will allow for the required testing and start-up procedures outlined by the Engineering, Construction and Operating groups.</w:t>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t xml:space="preserve">Cc:  J.T. Young </w:t>
      </w:r>
    </w:p>
    <w:p>
      <w:pPr>
        <w:pStyle w:val="Body"/>
        <w:ind w:start="720" w:end="540"/>
        <w:jc w:val="both"/>
        <w:rPr>
          <w:sz w:val="22"/>
        </w:rPr>
      </w:pPr>
      <w:r>
        <w:rPr>
          <w:rFonts w:eastAsia="Arial"/>
          <w:sz w:val="22"/>
        </w:rPr>
        <w:t xml:space="preserve">        </w:t>
      </w:r>
      <w:r>
        <w:rPr>
          <w:sz w:val="22"/>
        </w:rPr>
        <w:t xml:space="preserve">Jeff Stone  </w:t>
      </w:r>
    </w:p>
    <w:p>
      <w:pPr>
        <w:pStyle w:val="Body"/>
        <w:ind w:start="720" w:end="540"/>
        <w:jc w:val="both"/>
        <w:rPr>
          <w:sz w:val="22"/>
        </w:rPr>
      </w:pPr>
      <w:r>
        <w:rPr>
          <w:rFonts w:eastAsia="Arial"/>
          <w:sz w:val="22"/>
        </w:rPr>
        <w:t xml:space="preserve">        </w:t>
      </w:r>
      <w:r>
        <w:rPr>
          <w:sz w:val="22"/>
        </w:rPr>
        <w:t>Gerald Nemec</w:t>
      </w:r>
    </w:p>
    <w:p>
      <w:pPr>
        <w:pStyle w:val="Body"/>
        <w:ind w:start="720" w:end="540"/>
        <w:jc w:val="both"/>
        <w:rPr>
          <w:sz w:val="22"/>
        </w:rPr>
      </w:pPr>
      <w:r>
        <w:rPr>
          <w:rFonts w:eastAsia="Arial"/>
          <w:sz w:val="22"/>
        </w:rPr>
        <w:t xml:space="preserve">        </w:t>
      </w:r>
      <w:r>
        <w:rPr>
          <w:sz w:val="22"/>
        </w:rPr>
        <w:t xml:space="preserve">Chris Hilgert </w:t>
      </w:r>
    </w:p>
    <w:p>
      <w:pPr>
        <w:pStyle w:val="Body"/>
        <w:ind w:start="720" w:end="540"/>
        <w:jc w:val="both"/>
        <w:rPr>
          <w:sz w:val="22"/>
        </w:rPr>
      </w:pPr>
      <w:r>
        <w:rPr>
          <w:sz w:val="22"/>
        </w:rPr>
      </w:r>
    </w:p>
    <w:p>
      <w:pPr>
        <w:pStyle w:val="CopyList"/>
        <w:ind w:start="720" w:end="540"/>
        <w:jc w:val="both"/>
        <w:rPr>
          <w:sz w:val="22"/>
        </w:rPr>
      </w:pPr>
      <w:r>
        <w:rPr>
          <w:sz w:val="22"/>
        </w:rPr>
      </w:r>
    </w:p>
    <w:p>
      <w:pPr>
        <w:pStyle w:val="Normal"/>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Department">
    <w:name w:val="Department"/>
    <w:basedOn w:val="Normal"/>
    <w:qFormat/>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CopyList">
    <w:name w:val="CopyList"/>
    <w:basedOn w:val="Normal"/>
    <w:qFormat/>
    <w:pPr>
      <w:tabs>
        <w:tab w:val="clear" w:pos="720"/>
        <w:tab w:val="left" w:pos="504" w:leader="none"/>
      </w:tabs>
      <w:spacing w:before="360" w:after="0"/>
      <w:ind w:hanging="504" w:start="576" w:end="0"/>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2001-02-13T13:38:00Z</dcterms:created>
  <dc:creator>mknippa</dc:creator>
  <dc:description/>
  <dc:language>en-CA</dc:language>
  <cp:lastModifiedBy>mknippa</cp:lastModifiedBy>
  <cp:lastPrinted>2001-02-13T10:10:00Z</cp:lastPrinted>
  <dcterms:modified xsi:type="dcterms:W3CDTF">2001-02-13T13:41:00Z</dcterms:modified>
  <cp:revision>3</cp:revision>
  <dc:subject/>
  <dc:title> </dc:title>
</cp:coreProperties>
</file>