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November 16, 2001</w:t>
      </w:r>
    </w:p>
    <w:p>
      <w:pPr>
        <w:pStyle w:val="Normal"/>
        <w:ind w:firstLine="720" w:start="1440" w:end="0"/>
        <w:jc w:val="center"/>
        <w:rPr>
          <w:sz w:val="22"/>
        </w:rPr>
      </w:pPr>
      <w:r>
        <w:rPr>
          <w:sz w:val="22"/>
        </w:rPr>
      </w:r>
    </w:p>
    <w:p>
      <w:pPr>
        <w:pStyle w:val="Normal"/>
        <w:jc w:val="both"/>
        <w:rPr>
          <w:sz w:val="22"/>
        </w:rPr>
      </w:pPr>
      <w:r>
        <w:rPr>
          <w:sz w:val="22"/>
        </w:rPr>
        <w:t>Mr. Marion W. Howell</w:t>
      </w:r>
    </w:p>
    <w:p>
      <w:pPr>
        <w:pStyle w:val="Normal"/>
        <w:jc w:val="both"/>
        <w:rPr>
          <w:sz w:val="22"/>
        </w:rPr>
      </w:pPr>
      <w:r>
        <w:rPr>
          <w:sz w:val="22"/>
        </w:rPr>
        <w:t>Gulf Power Company</w:t>
      </w:r>
    </w:p>
    <w:p>
      <w:pPr>
        <w:pStyle w:val="Normal"/>
        <w:jc w:val="both"/>
        <w:rPr>
          <w:sz w:val="22"/>
        </w:rPr>
      </w:pPr>
      <w:r>
        <w:rPr>
          <w:sz w:val="22"/>
        </w:rPr>
        <w:t>One Energy Place</w:t>
      </w:r>
    </w:p>
    <w:p>
      <w:pPr>
        <w:pStyle w:val="Normal"/>
        <w:jc w:val="both"/>
        <w:rPr>
          <w:sz w:val="22"/>
        </w:rPr>
      </w:pPr>
      <w:r>
        <w:rPr>
          <w:sz w:val="22"/>
        </w:rPr>
        <w:t>Pensacola, Florida 32520-0231</w:t>
      </w:r>
    </w:p>
    <w:p>
      <w:pPr>
        <w:pStyle w:val="Normal"/>
        <w:jc w:val="both"/>
        <w:rPr>
          <w:sz w:val="22"/>
        </w:rPr>
      </w:pPr>
      <w:r>
        <w:rPr>
          <w:sz w:val="22"/>
        </w:rPr>
      </w:r>
    </w:p>
    <w:p>
      <w:pPr>
        <w:pStyle w:val="Normal"/>
        <w:ind w:hanging="720" w:start="720" w:end="720"/>
        <w:jc w:val="both"/>
        <w:rPr>
          <w:sz w:val="22"/>
        </w:rPr>
      </w:pPr>
      <w:r>
        <w:rPr>
          <w:sz w:val="22"/>
        </w:rPr>
        <w:t>Re:</w:t>
        <w:tab/>
        <w:t xml:space="preserve">Reimbursement of right-of-way costs for expedition of construction of electric service transmission facilities </w:t>
      </w:r>
    </w:p>
    <w:p>
      <w:pPr>
        <w:pStyle w:val="Normal"/>
        <w:jc w:val="both"/>
        <w:rPr>
          <w:sz w:val="22"/>
        </w:rPr>
      </w:pPr>
      <w:r>
        <w:rPr>
          <w:sz w:val="22"/>
        </w:rPr>
      </w:r>
    </w:p>
    <w:p>
      <w:pPr>
        <w:pStyle w:val="Normal"/>
        <w:jc w:val="both"/>
        <w:rPr>
          <w:sz w:val="22"/>
        </w:rPr>
      </w:pPr>
      <w:r>
        <w:rPr>
          <w:sz w:val="22"/>
        </w:rPr>
        <w:t>Dear Mr. Howell:</w:t>
      </w:r>
    </w:p>
    <w:p>
      <w:pPr>
        <w:pStyle w:val="Normal"/>
        <w:jc w:val="both"/>
        <w:rPr>
          <w:sz w:val="22"/>
        </w:rPr>
      </w:pPr>
      <w:r>
        <w:rPr>
          <w:sz w:val="22"/>
        </w:rPr>
      </w:r>
    </w:p>
    <w:p>
      <w:pPr>
        <w:pStyle w:val="BodyText"/>
        <w:rPr/>
      </w:pPr>
      <w:r>
        <w:rPr/>
        <w:tab/>
        <w:t xml:space="preserve">This letter agreement (this "Agreement") sets forth the agreement of Enron Compression Services Company, a Delaware corporation ("ECS") and Gulf Power Company, a __________ corporation (“Gulf”), (each referred to as a “Party” or collectively as the "Parties"), addressing certain details regarding the expedition of certain items concerning Gulf’s construction of power transmission facilities (the “Power Transmission Facilities”) in accordance with the terms and conditions of that certain letter agreement between Gulf and ECS dated February 13, 2001. </w:t>
      </w:r>
    </w:p>
    <w:p>
      <w:pPr>
        <w:pStyle w:val="Normal"/>
        <w:jc w:val="both"/>
        <w:rPr>
          <w:sz w:val="22"/>
        </w:rPr>
      </w:pPr>
      <w:r>
        <w:rPr>
          <w:sz w:val="22"/>
        </w:rPr>
      </w:r>
    </w:p>
    <w:p>
      <w:pPr>
        <w:pStyle w:val="BodyText"/>
        <w:rPr/>
      </w:pPr>
      <w:r>
        <w:rPr/>
        <w:tab/>
        <w:t xml:space="preserve">ECS agrees to reimburse Gulf an amount up to $130,000 for the actual costs of purchasing  three tracts of right-of-way for the route of the Power Transmission Facilities as such tracts are more specifically described on Exhibit “A” attached hereto.  Gulf shall purchase the rights-of-way immediately upon execution of this Agreement.  ECS will pay the $130,000 within 15 days of ECS’ receipt of executed right-of-ways documents for the three tracts.    </w:t>
      </w:r>
    </w:p>
    <w:p>
      <w:pPr>
        <w:pStyle w:val="BodyText"/>
        <w:rPr/>
      </w:pPr>
      <w:r>
        <w:rPr/>
      </w:r>
    </w:p>
    <w:p>
      <w:pPr>
        <w:pStyle w:val="BodyTextIndent"/>
        <w:ind w:hanging="0" w:end="0"/>
        <w:jc w:val="both"/>
        <w:rPr>
          <w:b/>
        </w:rPr>
      </w:pPr>
      <w:r>
        <w:rPr>
          <w:b/>
        </w:rPr>
      </w:r>
    </w:p>
    <w:p>
      <w:pPr>
        <w:pStyle w:val="BodyTextIndent2"/>
        <w:rPr/>
      </w:pPr>
      <w:r>
        <w:rPr/>
        <w:t xml:space="preserve">THIS AGREEMENT SHALL BE GOVERNED BY AND CONSTRUED IN ACCORDANCE WITH THE LAWS OF THE STATE OF FLORIDA, EXCLUDING ANY CONFLICTS-OF-LAW RULE OR PRINCIPLE WHICH MIGHT REFER TO THE LAWS OF ANOTHER STATE.  </w:t>
      </w:r>
    </w:p>
    <w:p>
      <w:pPr>
        <w:pStyle w:val="BodyText"/>
        <w:rPr/>
      </w:pPr>
      <w:r>
        <w:rPr/>
        <w:tab/>
      </w:r>
    </w:p>
    <w:p>
      <w:pPr>
        <w:pStyle w:val="BodyText"/>
        <w:rPr/>
      </w:pPr>
      <w:r>
        <w:rPr/>
        <w:t>This Agreement shall be binding upon the Parties to this Agreement and their respective successors and assigns.</w:t>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COMPRESSION COMPANY</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__ day of November, 2001.</w:t>
      </w:r>
    </w:p>
    <w:p>
      <w:pPr>
        <w:pStyle w:val="Normal"/>
        <w:jc w:val="both"/>
        <w:rPr>
          <w:sz w:val="22"/>
        </w:rPr>
      </w:pPr>
      <w:r>
        <w:rPr>
          <w:sz w:val="22"/>
        </w:rPr>
      </w:r>
    </w:p>
    <w:p>
      <w:pPr>
        <w:pStyle w:val="BodyText2"/>
        <w:rPr>
          <w:sz w:val="22"/>
        </w:rPr>
      </w:pPr>
      <w:r>
        <w:rPr>
          <w:b/>
          <w:sz w:val="22"/>
        </w:rPr>
        <w:t>GULF POWER COMPANY</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Gulf Chemical Company,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tab/>
      <w:tab/>
      <w:t>Enron Storage Company</w:t>
    </w:r>
  </w:p>
  <w:p>
    <w:pPr>
      <w:pStyle w:val="Header"/>
      <w:rPr/>
    </w:pPr>
    <w:r>
      <w:rPr>
        <w:rFonts w:cs="Arial" w:ascii="Arial" w:hAnsi="Arial"/>
        <w:b/>
      </w:rPr>
      <w:tab/>
      <w:tab/>
    </w:r>
    <w:r>
      <w:rPr>
        <w:rFonts w:cs="Arial" w:ascii="Arial" w:hAnsi="Arial"/>
        <w:i/>
      </w:rPr>
      <w:t xml:space="preserve">1400 Smith Street  </w:t>
    </w:r>
  </w:p>
  <w:p>
    <w:pPr>
      <w:pStyle w:val="Header"/>
      <w:rPr>
        <w:rFonts w:ascii="Arial" w:hAnsi="Arial" w:cs="Arial"/>
        <w:b/>
      </w:rPr>
    </w:pPr>
    <w:r>
      <w:rPr>
        <w:rFonts w:cs="Arial" w:ascii="Arial" w:hAnsi="Arial"/>
        <w:i/>
      </w:rPr>
      <w:tab/>
      <w:tab/>
      <w:t>Houston, Texas  77002</w:t>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2001-11-15T17:06:00Z</dcterms:created>
  <dc:creator>Shonnie Daniel</dc:creator>
  <dc:description/>
  <cp:keywords>CARMICHAEL FIELD 4" P/L</cp:keywords>
  <dc:language>en-CA</dc:language>
  <cp:lastModifiedBy>gnemec</cp:lastModifiedBy>
  <cp:lastPrinted>1999-03-05T13:40:00Z</cp:lastPrinted>
  <dcterms:modified xsi:type="dcterms:W3CDTF">2001-11-19T16:08:00Z</dcterms:modified>
  <cp:revision>7</cp:revision>
  <dc:subject>ONYX GATHERING COMPANY, L.C.</dc:subject>
  <dc:title>LETTER OF UNDERSTANDINDG</dc:title>
</cp:coreProperties>
</file>