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emf" ContentType="image/x-emf"/>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2008505"/>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2008505"/>
                        </a:xfrm>
                        <a:prstGeom prst="rect"/>
                        <a:solidFill>
                          <a:srgbClr val="FFFFFF">
                            <a:alpha val="0"/>
                          </a:srgbClr>
                        </a:solidFill>
                      </wps:spPr>
                      <wps:txbx>
                        <w:txbxContent>
                          <w:p>
                            <w:pPr>
                              <w:pStyle w:val="Normal"/>
                              <w:widowControl/>
                              <w:bidi w:val="0"/>
                              <w:spacing w:before="60" w:after="60"/>
                              <w:rPr/>
                            </w:pPr>
                            <w:r>
                              <w:rPr/>
                              <w:object w:dxaOrig="2387" w:dyaOrig="23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9.35pt;height:118.55pt" filled="f" o:ole="">
                                  <v:imagedata r:id="rId3" o:title=""/>
                                </v:shape>
                                <o:OLEObject Type="Embed" ProgID="" ShapeID="ole_rId2" DrawAspect="Content" ObjectID="_20716085" r:id="rId2"/>
                              </w:object>
                            </w:r>
                          </w:p>
                          <w:p>
                            <w:pPr>
                              <w:pStyle w:val="Normal"/>
                              <w:rPr/>
                            </w:pPr>
                            <w:r>
                              <w:rPr/>
                            </w:r>
                          </w:p>
                          <w:p>
                            <w:pPr>
                              <w:pStyle w:val="Normal"/>
                              <w:spacing w:before="0" w:after="0"/>
                              <w:rPr>
                                <w:rFonts w:ascii="Arial" w:hAnsi="Arial" w:cs="Arial"/>
                              </w:rPr>
                            </w:pPr>
                            <w:r>
                              <w:rPr>
                                <w:rFonts w:cs="Arial" w:ascii="Arial" w:hAnsi="Arial"/>
                                <w:b/>
                              </w:rPr>
                              <w:t>InterOffice Memo</w:t>
                            </w:r>
                          </w:p>
                        </w:txbxContent>
                      </wps:txbx>
                      <wps:bodyPr anchor="t" lIns="0" tIns="0" rIns="0" bIns="0">
                        <a:noAutofit/>
                      </wps:bodyPr>
                    </wps:wsp>
                  </a:graphicData>
                </a:graphic>
              </wp:anchor>
            </w:drawing>
          </mc:Choice>
          <mc:Fallback>
            <w:pict>
              <v:rect fillcolor="#FFFFFF" style="position:absolute;rotation:-0;width:300.8pt;height:158.15pt;mso-wrap-distance-left:9pt;mso-wrap-distance-right:9pt;mso-wrap-distance-top:0pt;mso-wrap-distance-bottom:0pt;margin-top:-50.95pt;mso-position-vertical-relative:text;margin-left:83.3pt;mso-position-horizontal-relative:page">
                <v:fill opacity="0f"/>
                <v:textbox inset="0in,0in,0in,0in">
                  <w:txbxContent>
                    <w:p>
                      <w:pPr>
                        <w:pStyle w:val="Normal"/>
                        <w:widowControl/>
                        <w:bidi w:val="0"/>
                        <w:spacing w:before="60" w:after="60"/>
                        <w:rPr/>
                      </w:pPr>
                      <w:r>
                        <w:rPr/>
                        <w:object w:dxaOrig="2387" w:dyaOrig="237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9.35pt;height:118.55pt" filled="f" o:ole="">
                            <v:imagedata r:id="rId5" o:title=""/>
                          </v:shape>
                          <o:OLEObject Type="Embed" ProgID="" ShapeID="ole_rId4" DrawAspect="Content" ObjectID="_390068702" r:id="rId4"/>
                        </w:object>
                      </w:r>
                    </w:p>
                    <w:p>
                      <w:pPr>
                        <w:pStyle w:val="Normal"/>
                        <w:rPr/>
                      </w:pPr>
                      <w:r>
                        <w:rPr/>
                      </w:r>
                    </w:p>
                    <w:p>
                      <w:pPr>
                        <w:pStyle w:val="Normal"/>
                        <w:spacing w:before="0" w:after="0"/>
                        <w:rPr>
                          <w:rFonts w:ascii="Arial" w:hAnsi="Arial" w:cs="Arial"/>
                        </w:rPr>
                      </w:pPr>
                      <w:r>
                        <w:rPr>
                          <w:rFonts w:cs="Arial" w:ascii="Arial" w:hAnsi="Arial"/>
                          <w:b/>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rPr>
            </w:pPr>
            <w:r>
              <w:rPr>
                <w:rFonts w:cs="Arial" w:ascii="Arial" w:hAnsi="Arial"/>
                <w:b/>
              </w:rPr>
              <w:t>To:</w:t>
            </w:r>
          </w:p>
        </w:tc>
        <w:tc>
          <w:tcPr>
            <w:tcW w:w="7560" w:type="dxa"/>
            <w:tcBorders/>
          </w:tcPr>
          <w:p>
            <w:pPr>
              <w:pStyle w:val="To"/>
              <w:spacing w:before="60" w:after="60"/>
              <w:rPr>
                <w:rFonts w:ascii="Arial" w:hAnsi="Arial" w:cs="Arial"/>
              </w:rPr>
            </w:pPr>
            <w:bookmarkStart w:id="0" w:name="To"/>
            <w:bookmarkEnd w:id="0"/>
            <w:r>
              <w:rPr>
                <w:rFonts w:cs="Arial" w:ascii="Arial" w:hAnsi="Arial"/>
              </w:rPr>
              <w:t>Jim Steffes</w:t>
            </w:r>
          </w:p>
        </w:tc>
      </w:tr>
      <w:tr>
        <w:trPr/>
        <w:tc>
          <w:tcPr>
            <w:tcW w:w="1188" w:type="dxa"/>
            <w:tcBorders/>
          </w:tcPr>
          <w:p>
            <w:pPr>
              <w:pStyle w:val="Normal"/>
              <w:spacing w:before="60" w:after="60"/>
              <w:rPr>
                <w:rFonts w:ascii="Arial" w:hAnsi="Arial" w:cs="Arial"/>
              </w:rPr>
            </w:pPr>
            <w:r>
              <w:rPr>
                <w:rFonts w:cs="Arial" w:ascii="Arial" w:hAnsi="Arial"/>
                <w:b/>
              </w:rPr>
              <w:t>From:</w:t>
            </w:r>
          </w:p>
        </w:tc>
        <w:tc>
          <w:tcPr>
            <w:tcW w:w="7560" w:type="dxa"/>
            <w:tcBorders/>
          </w:tcPr>
          <w:p>
            <w:pPr>
              <w:pStyle w:val="From"/>
              <w:spacing w:before="60" w:after="60"/>
              <w:rPr>
                <w:rFonts w:ascii="Arial" w:hAnsi="Arial" w:cs="Arial"/>
              </w:rPr>
            </w:pPr>
            <w:bookmarkStart w:id="1" w:name="From"/>
            <w:bookmarkEnd w:id="1"/>
            <w:r>
              <w:rPr>
                <w:rFonts w:cs="Arial" w:ascii="Arial" w:hAnsi="Arial"/>
              </w:rPr>
              <w:t>Alberto Levy</w:t>
            </w:r>
          </w:p>
        </w:tc>
      </w:tr>
      <w:tr>
        <w:trPr/>
        <w:tc>
          <w:tcPr>
            <w:tcW w:w="1188" w:type="dxa"/>
            <w:tcBorders/>
          </w:tcPr>
          <w:p>
            <w:pPr>
              <w:pStyle w:val="Normal"/>
              <w:spacing w:before="60" w:after="60"/>
              <w:rPr>
                <w:rFonts w:ascii="Arial" w:hAnsi="Arial" w:cs="Arial"/>
              </w:rPr>
            </w:pPr>
            <w:r>
              <w:rPr>
                <w:rFonts w:cs="Arial" w:ascii="Arial" w:hAnsi="Arial"/>
                <w:b/>
              </w:rPr>
              <w:t>Date:</w:t>
            </w:r>
          </w:p>
        </w:tc>
        <w:tc>
          <w:tcPr>
            <w:tcW w:w="7560" w:type="dxa"/>
            <w:tcBorders/>
          </w:tcPr>
          <w:p>
            <w:pPr>
              <w:pStyle w:val="Date"/>
              <w:spacing w:before="60" w:after="60"/>
              <w:rPr>
                <w:rFonts w:ascii="Arial" w:hAnsi="Arial" w:cs="Arial"/>
              </w:rPr>
            </w:pPr>
            <w:r>
              <w:rPr>
                <w:rFonts w:cs="Arial" w:ascii="Arial" w:hAnsi="Arial"/>
              </w:rPr>
              <w:fldChar w:fldCharType="begin"/>
            </w:r>
            <w:r>
              <w:rPr>
                <w:rFonts w:cs="Arial" w:ascii="Arial" w:hAnsi="Arial"/>
              </w:rPr>
              <w:instrText xml:space="preserve"> DATE \@"d\ MMMM', 'yyyy" </w:instrText>
            </w:r>
            <w:r>
              <w:rPr>
                <w:rFonts w:cs="Arial" w:ascii="Arial" w:hAnsi="Arial"/>
              </w:rPr>
              <w:fldChar w:fldCharType="separate"/>
            </w:r>
            <w:r>
              <w:rPr>
                <w:rFonts w:cs="Arial" w:ascii="Arial" w:hAnsi="Arial"/>
              </w:rPr>
              <w:t>28 September, 2025</w:t>
            </w:r>
            <w:r>
              <w:rPr>
                <w:rFonts w:cs="Arial" w:ascii="Arial" w:hAnsi="Arial"/>
              </w:rPr>
              <w:fldChar w:fldCharType="end"/>
            </w:r>
          </w:p>
        </w:tc>
      </w:tr>
      <w:tr>
        <w:trPr/>
        <w:tc>
          <w:tcPr>
            <w:tcW w:w="1188" w:type="dxa"/>
            <w:tcBorders>
              <w:bottom w:val="single" w:sz="18" w:space="0" w:color="000000"/>
            </w:tcBorders>
          </w:tcPr>
          <w:p>
            <w:pPr>
              <w:pStyle w:val="Normal"/>
              <w:spacing w:before="60" w:after="60"/>
              <w:rPr>
                <w:rFonts w:ascii="Arial" w:hAnsi="Arial" w:cs="Arial"/>
              </w:rPr>
            </w:pPr>
            <w:r>
              <w:rPr>
                <w:rFonts w:cs="Arial" w:ascii="Arial" w:hAnsi="Arial"/>
                <w:b/>
              </w:rPr>
              <w:t>Subject:</w:t>
            </w:r>
          </w:p>
        </w:tc>
        <w:tc>
          <w:tcPr>
            <w:tcW w:w="7560" w:type="dxa"/>
            <w:tcBorders>
              <w:bottom w:val="single" w:sz="18" w:space="0" w:color="000000"/>
            </w:tcBorders>
          </w:tcPr>
          <w:p>
            <w:pPr>
              <w:pStyle w:val="Subject"/>
              <w:spacing w:before="60" w:after="60"/>
              <w:rPr>
                <w:rFonts w:ascii="Arial" w:hAnsi="Arial" w:cs="Arial"/>
              </w:rPr>
            </w:pPr>
            <w:bookmarkStart w:id="2" w:name="Subject"/>
            <w:bookmarkEnd w:id="2"/>
            <w:r>
              <w:rPr>
                <w:rFonts w:cs="Arial" w:ascii="Arial" w:hAnsi="Arial"/>
              </w:rPr>
              <w:t>Risk Analytics Database</w:t>
            </w:r>
          </w:p>
        </w:tc>
      </w:tr>
    </w:tbl>
    <w:p>
      <w:pPr>
        <w:pStyle w:val="Normal"/>
        <w:rPr/>
      </w:pPr>
      <w:bookmarkStart w:id="3" w:name="StartOfMemo"/>
      <w:bookmarkEnd w:id="3"/>
      <w:r>
        <w:rPr/>
        <w:t>The following document provides the guidelines for determining regulatory risk arising from Enron’s positions, both in terms of assets as well as contractual obligations. The risk, evaluated from a database specifically built for this purpose, has significant importance for Government Affairs because it allows determining what is the potential contribution of the group to Enron’s profitability. Internally, it serves as a prioritization mechanism by focusing on those projects that could provide a larger benefit and/or mitigate greatest risk. Additionally, it can also provide RAC additional tools to control risk because it would allow the function to better understand, assess and act to mitigate the regulatory risk arising from the various projects.</w:t>
      </w:r>
    </w:p>
    <w:p>
      <w:pPr>
        <w:pStyle w:val="Normal"/>
        <w:rPr/>
      </w:pPr>
      <w:r>
        <w:rPr/>
        <w:t>This document intends to be an educational vehicle to facilitate the reader’s understanding what the purpose of Risk Analytics is, how to fulfill the requirements to evaluate the project, and how to complete or update the database. It also intends to provide a common methodology to homogenize the product and make each element of the database comparable to the others.</w:t>
      </w:r>
      <w:r>
        <w:rPr>
          <w:rStyle w:val="FootnoteCharacters"/>
          <w:rStyle w:val="FootnoteReference"/>
        </w:rPr>
        <w:footnoteReference w:id="2"/>
      </w:r>
      <w:r>
        <w:rPr/>
        <w:t xml:space="preserve"> It is important to note that the whole purpose of Risk Analysis is forecast losses and take measures to mitigate or reduce them, and not to discourage deals, otherwise the support from the commercial functions will never be obtained. In other words, it is about safeguards and not avoidance.</w:t>
      </w:r>
    </w:p>
    <w:p>
      <w:pPr>
        <w:pStyle w:val="Heading2"/>
        <w:ind w:hanging="0" w:start="0"/>
        <w:rPr/>
      </w:pPr>
      <w:r>
        <w:rPr/>
        <w:t>Types of Risks</w:t>
      </w:r>
    </w:p>
    <w:p>
      <w:pPr>
        <w:pStyle w:val="Normal"/>
        <w:rPr/>
      </w:pPr>
      <w:r>
        <w:rPr/>
        <w:t>There are different types of risks,</w:t>
      </w:r>
      <w:r>
        <w:rPr>
          <w:rStyle w:val="FootnoteCharacters"/>
          <w:rStyle w:val="FootnoteReference"/>
        </w:rPr>
        <w:footnoteReference w:id="3"/>
      </w:r>
      <w:r>
        <w:rPr/>
        <w:t xml:space="preserve"> each corresponding to different segments of a particular business or project and are managed, explicitly or intuitively by different functions within Enron. Risk is defined as the potential negative variation in position in Enron’s books due to changes in the relevant environment caused by events non-controllable by the company. I refer to negative variation as the reduction in expected revenues due to a trade.</w:t>
      </w:r>
      <w:r>
        <w:rPr>
          <w:rStyle w:val="FootnoteCharacters"/>
          <w:rStyle w:val="FootnoteReference"/>
        </w:rPr>
        <w:footnoteReference w:id="4"/>
      </w:r>
    </w:p>
    <w:p>
      <w:pPr>
        <w:pStyle w:val="Heading2"/>
        <w:ind w:hanging="0" w:start="0"/>
        <w:rPr/>
      </w:pPr>
      <w:r>
        <w:rPr/>
        <w:t>Stages in the risk management process</w:t>
      </w:r>
    </w:p>
    <w:p>
      <w:pPr>
        <w:pStyle w:val="Normal"/>
        <w:rPr/>
      </w:pPr>
      <w:r>
        <w:rPr/>
        <w:t>The risk management process has several stages that need to be fulfilled for an effective assessment and control. The stages are: (1) formulation of risk policies and procedures; (2) risk identification; (3) Risk measurement; (4) Risk analysis and monitoring; (5) Risk reporting; and (6) Risk verification and audit. Part of these stages have already been defined in other departments within Enron, for example, RAC has a definite set of policies and procedures to assess and control market risk that can be translated into regulatory risk. The same occurs with stage 4-5. Stages 2 and 3 require specific tools and methodologies given the particular characteristics of the regulatory function, such as the lack of historical data to make predictions, the fuzzier nature of the regulatory function and the political process associated with it.</w:t>
      </w:r>
      <w:r>
        <w:rPr>
          <w:rStyle w:val="FootnoteCharacters"/>
          <w:rStyle w:val="FootnoteReference"/>
        </w:rPr>
        <w:footnoteReference w:id="5"/>
      </w:r>
    </w:p>
    <w:p>
      <w:pPr>
        <w:pStyle w:val="Heading3"/>
        <w:ind w:hanging="0" w:start="0"/>
        <w:rPr/>
      </w:pPr>
      <w:r>
        <w:rPr/>
        <w:t>Formulation of risk policies and procedures</w:t>
      </w:r>
    </w:p>
    <w:p>
      <w:pPr>
        <w:pStyle w:val="Normal"/>
        <w:rPr/>
      </w:pPr>
      <w:r>
        <w:rPr/>
        <w:t>For an effective risk management system, a set of written rules and procedures – endorsed by Government and Regulatory Affairs (GRA) top officials— need to be formulated, disseminated and understood by all those individuals affected. As Enron moves from an asset-driven to a transaction-driven enterprise, the volume of transactions have increased exponentially, and so does the risk that the company faces. Enron has developed comprehensive rules and procedures to handle different types of risk such as market, legal, liquidity, credit and settlement risk.</w:t>
      </w:r>
    </w:p>
    <w:p>
      <w:pPr>
        <w:pStyle w:val="Heading3"/>
        <w:ind w:hanging="0" w:start="0"/>
        <w:rPr/>
      </w:pPr>
      <w:r>
        <w:rPr/>
        <w:t>Risk identification</w:t>
      </w:r>
    </w:p>
    <w:p>
      <w:pPr>
        <w:pStyle w:val="Normal"/>
        <w:rPr/>
      </w:pPr>
      <w:r>
        <w:rPr/>
        <w:t>This step refers to the need to define and understand the nature of the risk Enron faces. The function that concerns to us, regulatory risk, involves determining with a reasonable likelihood, potential negative outcomes that could affect the businesses we are involved in. Government Affairs is qualified to provide comprehensive assessment of this risk, given its independence and neutrality regarding the positions</w:t>
      </w:r>
      <w:r>
        <w:rPr>
          <w:rStyle w:val="FootnoteCharacters"/>
          <w:rStyle w:val="FootnoteReference"/>
        </w:rPr>
        <w:footnoteReference w:id="6"/>
      </w:r>
      <w:r>
        <w:rPr/>
        <w:t xml:space="preserve"> acquired by the commercial functions, its knowledge of the different regulatory systems, and its continuous contact with regulatory agencies. </w:t>
      </w:r>
    </w:p>
    <w:p>
      <w:pPr>
        <w:pStyle w:val="Normal"/>
        <w:rPr/>
      </w:pPr>
      <w:r>
        <w:rPr/>
        <w:t>Risk identification involves an exhaustive analysis of reasonable scenarios to the basic assumptions used in the model. Regretfully, what is reasonable is specific for each transaction and its determination will be determined between the originator and GRA. In general, the typical regulatory risks involved in any transaction are rate reductions, delay in deregulation date, price caps in the wholesale market, or contract abrogation.</w:t>
      </w:r>
    </w:p>
    <w:p>
      <w:pPr>
        <w:pStyle w:val="Normal"/>
        <w:rPr/>
      </w:pPr>
      <w:r>
        <w:rPr/>
        <w:t>There have been attempts to assess and control Regulatory Risk. In the old EI, where the emphasis was on project development, regulatory risk was handled –assessed and controlled— in the due diligence/asset acquisition process. A thorough regulatory analysis was performed and the riskier terms such as tariff changes, modification in the methodologies to calculate fuel adjustments, etc., where included in the contracts signed. In addition, terms were included that allowed “passing-through” those changes that negatively impacted revenues to the counterpart in the transaction.</w:t>
      </w:r>
    </w:p>
    <w:p>
      <w:pPr>
        <w:pStyle w:val="BodyText"/>
        <w:rPr/>
      </w:pPr>
      <w:r>
        <w:rPr>
          <w:b w:val="false"/>
          <w:i w:val="false"/>
        </w:rPr>
        <w:t xml:space="preserve">Last year, a group led by Jim Steffes performed a regulatory risk analysis, determining the Top 20 regulatory risks for Enron by compiling a database that includes the type of risk, severity, and likelihood. From this process, mitigation plans were formulated. From the success of that process, it was determined that a systematic effort was required. This document’s objective is to help make the determination, assessment, quantification and remediation of regulatory risks a continuous endeavor. </w:t>
      </w:r>
      <w:r>
        <w:br w:type="page"/>
      </w:r>
    </w:p>
    <w:p>
      <w:pPr>
        <w:pStyle w:val="Caption"/>
        <w:spacing w:before="0" w:after="0"/>
        <w:rPr/>
      </w:pPr>
      <w:r>
        <w:rPr/>
        <w:t xml:space="preserve">Table </w:t>
      </w:r>
      <w:r>
        <w:rPr/>
        <w:fldChar w:fldCharType="begin"/>
      </w:r>
      <w:r>
        <w:rPr/>
        <w:instrText xml:space="preserve"> SEQ Table \* ARABIC </w:instrText>
      </w:r>
      <w:r>
        <w:rPr/>
        <w:fldChar w:fldCharType="separate"/>
      </w:r>
      <w:r>
        <w:rPr/>
        <w:t>1</w:t>
      </w:r>
      <w:r>
        <w:rPr/>
        <w:fldChar w:fldCharType="end"/>
      </w:r>
      <w:r>
        <w:rPr/>
        <w:t xml:space="preserve">. Types of Risks </w:t>
      </w:r>
    </w:p>
    <w:tbl>
      <w:tblPr>
        <w:tblW w:w="9738" w:type="dxa"/>
        <w:jc w:val="start"/>
        <w:tblInd w:w="0" w:type="dxa"/>
        <w:tblLayout w:type="fixed"/>
        <w:tblCellMar>
          <w:top w:w="0" w:type="dxa"/>
          <w:start w:w="108" w:type="dxa"/>
          <w:bottom w:w="0" w:type="dxa"/>
          <w:end w:w="108" w:type="dxa"/>
        </w:tblCellMar>
      </w:tblPr>
      <w:tblGrid>
        <w:gridCol w:w="1368"/>
        <w:gridCol w:w="2880"/>
        <w:gridCol w:w="3150"/>
        <w:gridCol w:w="2340"/>
      </w:tblGrid>
      <w:tr>
        <w:trPr/>
        <w:tc>
          <w:tcPr>
            <w:tcW w:w="13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Risk Dimension</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Definition</w:t>
            </w:r>
          </w:p>
        </w:tc>
        <w:tc>
          <w:tcPr>
            <w:tcW w:w="31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Managed by</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Function Responsible</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Market Risk</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The risk to an institution’s financial condition arising from adverse movements in the level or volatility of market prices. Variables include foreign exchange rates, interest rates, commodity prices</w:t>
            </w:r>
          </w:p>
        </w:tc>
        <w:tc>
          <w:tcPr>
            <w:tcW w:w="31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 xml:space="preserve">Providing consistent information of market risk across the organization at all levels; developing and applying consistent risk measures (volatilities, VaR); establishing appropriate procedures and monitoring risk limits; and understanding where risk comes from across the organization; fully and partly hedging (financial products) </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Risk Assessment and Control as an independent unit, working together with EES (retail; US; Europe); EWS (wholesale; US, Europe, Japan, Australia); EGA (asset management and project development, Central and South America, India), etc</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Credit Risk And Settlement Risk</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The risk that a counterpart will fail to perform on an obligation owed to the project. Risk should be measured not only by the probability of default (bankruptcy in the case of credit risk and non-delivery of funds in the case of settlement) by a particular customer but also by groups of customers facing similar circumstances or having comparable characteristics.</w:t>
            </w:r>
          </w:p>
        </w:tc>
        <w:tc>
          <w:tcPr>
            <w:tcW w:w="31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Monitoring credit exposures relative to limits; resetting limits regularly; contractual provisions (e.g., back-to-back terms); monetization of cash flows and scenario analysis; guarantees, adequacy of settlement rules</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Insurance group; legal team; commercial function</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Liquidity risk</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 xml:space="preserve">The converse of credit and settlement risks. </w:t>
            </w:r>
          </w:p>
        </w:tc>
        <w:tc>
          <w:tcPr>
            <w:tcW w:w="31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Match funding debt horizons with liquidity positions. Develop guidelines limiting exposure</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Finance</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Legal risk</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Risk that contracts are not complete or legally enforceable</w:t>
            </w:r>
          </w:p>
        </w:tc>
        <w:tc>
          <w:tcPr>
            <w:tcW w:w="31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Carefully contracting and conducting business with external parties and employees; establishing clear compliance structures</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Legal/RAC</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Regulatory risk</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before="60" w:after="60"/>
              <w:rPr>
                <w:color w:val="000000"/>
                <w:lang w:eastAsia="en-US"/>
              </w:rPr>
            </w:pPr>
            <w:r>
              <w:rPr>
                <w:color w:val="000000"/>
                <w:lang w:eastAsia="en-US"/>
              </w:rPr>
              <w:t>Risk that an administrative agency or government takes an action resulting in a decline of cash flows</w:t>
            </w:r>
          </w:p>
        </w:tc>
        <w:tc>
          <w:tcPr>
            <w:tcW w:w="31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Regulatory due-diligence, contractual provisions, lobby, leverage from USG</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GRA when invited to participate, ad-hoc by functional departments/RAC</w:t>
            </w:r>
          </w:p>
        </w:tc>
      </w:tr>
    </w:tbl>
    <w:p>
      <w:pPr>
        <w:pStyle w:val="Heading3"/>
        <w:ind w:hanging="0" w:start="0"/>
        <w:rPr/>
      </w:pPr>
      <w:r>
        <w:br w:type="page"/>
      </w:r>
      <w:r>
        <w:rPr/>
        <w:t>Risk measurement</w:t>
      </w:r>
    </w:p>
    <w:p>
      <w:pPr>
        <w:pStyle w:val="Normal"/>
        <w:rPr/>
      </w:pPr>
      <w:r>
        <w:rPr/>
        <w:t>A central objective of any risk management system must be to enable the firm to assess and manage the risk it faces on a consistent basis, developing a methodology that allows doing comparisons across the different dimensions of risk, and enables risk considerations to be factored into performance measurement and capital allocation decisions. RAC already uses various measures of risk such as Credit Risk and VaR.</w:t>
      </w:r>
    </w:p>
    <w:p>
      <w:pPr>
        <w:pStyle w:val="Normal"/>
        <w:rPr/>
      </w:pPr>
      <w:r>
        <w:rPr/>
        <w:t>The regulatory risk, given its situation-specific nature, has less systematic components than other types of risk, such as market risk that can be quantified with voluminous amounts of data. For the evaluation of market risk, historical data for all the transactions with a specific product is modeled and statistics are determined. Then some decisions are made regarding the bounds allowed for each of these statistics. Since its debut in November 1999, EnronOnline has conducted transactions worth more than $92 billion and will continue to post two-way prices for more than 800 products in global energy and commodities markets</w:t>
      </w:r>
    </w:p>
    <w:p>
      <w:pPr>
        <w:pStyle w:val="Normal"/>
        <w:rPr/>
      </w:pPr>
      <w:r>
        <w:rPr/>
        <w:t>First, regulatory events that impact positions are very infrequent. On the other hand, each event has enormous impact. This specificity should allow us, at least, to develop a categorization of elements to be included, and standards by which assess risk.</w:t>
      </w:r>
    </w:p>
    <w:p>
      <w:pPr>
        <w:pStyle w:val="Normal"/>
        <w:rPr/>
      </w:pPr>
      <w:r>
        <w:rPr/>
        <w:t>There are three basic methodologies to measure risk: Stress testing, Value at Risk (VaR) and Scenario Analysis. Each of them has strengths and weaknesses, and none can be recommended for all uses.</w:t>
      </w:r>
    </w:p>
    <w:p>
      <w:pPr>
        <w:pStyle w:val="Heading3"/>
        <w:ind w:hanging="0" w:start="0"/>
        <w:rPr/>
      </w:pPr>
      <w:r>
        <w:rPr/>
        <w:t>Stress testing</w:t>
      </w:r>
    </w:p>
    <w:p>
      <w:pPr>
        <w:pStyle w:val="Normal"/>
        <w:rPr/>
      </w:pPr>
      <w:r>
        <w:rPr/>
        <w:t>In stress testing, a set of moves to the modeled parameters is performed and the simulated change is measured as the impact on the project. It does not require a built-in probability distribution associated with the parameter under analysis.</w:t>
      </w:r>
      <w:r>
        <w:rPr>
          <w:rStyle w:val="FootnoteCharacters"/>
          <w:rStyle w:val="FootnoteReference"/>
        </w:rPr>
        <w:footnoteReference w:id="7"/>
      </w:r>
      <w:r>
        <w:rPr/>
        <w:t xml:space="preserve"> This method has several advantages:</w:t>
      </w:r>
    </w:p>
    <w:p>
      <w:pPr>
        <w:pStyle w:val="FootnoteText"/>
        <w:numPr>
          <w:ilvl w:val="0"/>
          <w:numId w:val="3"/>
        </w:numPr>
        <w:rPr/>
      </w:pPr>
      <w:r>
        <w:rPr/>
        <w:t>Moves to the variables of any size can be performed</w:t>
      </w:r>
    </w:p>
    <w:p>
      <w:pPr>
        <w:pStyle w:val="FootnoteText"/>
        <w:numPr>
          <w:ilvl w:val="0"/>
          <w:numId w:val="3"/>
        </w:numPr>
        <w:rPr/>
      </w:pPr>
      <w:r>
        <w:rPr/>
        <w:t>There is a clear relationship between the move proposed and the loss of value</w:t>
      </w:r>
    </w:p>
    <w:p>
      <w:pPr>
        <w:pStyle w:val="FootnoteText"/>
        <w:numPr>
          <w:ilvl w:val="0"/>
          <w:numId w:val="3"/>
        </w:numPr>
        <w:rPr/>
      </w:pPr>
      <w:r>
        <w:rPr/>
        <w:t>Does not require enormous volumes of data to build distributions of events and associate probabilities to each. The events are assigned “possibilities” which can even be termed in qualitative terms such as possible, remote, etc.</w:t>
      </w:r>
    </w:p>
    <w:p>
      <w:pPr>
        <w:pStyle w:val="FootnoteText"/>
        <w:numPr>
          <w:ilvl w:val="0"/>
          <w:numId w:val="3"/>
        </w:numPr>
        <w:rPr/>
      </w:pPr>
      <w:r>
        <w:rPr/>
        <w:t>Can be easily communicated</w:t>
      </w:r>
    </w:p>
    <w:p>
      <w:pPr>
        <w:pStyle w:val="FootnoteText"/>
        <w:ind w:hanging="0" w:start="0" w:end="0"/>
        <w:rPr/>
      </w:pPr>
      <w:r>
        <w:rPr/>
        <w:t>The greatest shortcoming of stress testing is the limited amount of variables over which the analysis can be performed. The question, therefore is which set of variables to use. For comparison and aggregation purposes, the lack of homogeneity in the values obtained limit the use of this tool. A policy on which variables to perform the study could, of course, overcome this problem but as conditions change, the policy would need to change, deeming this approach less useful. In addition, since each stress test is based on a particular scenario, aggregation is more difficult. Examples of stress analysis are a mandated reduction of five percent in the General Service Rate of Pacific Power &amp; Light on EES retail contracts, the imposition of nodal pricing versus postage stamp rates in ERCOT, or the increase of 30$/MWh of the congestion price in the California-Oregon border.</w:t>
      </w:r>
    </w:p>
    <w:p>
      <w:pPr>
        <w:pStyle w:val="Heading3"/>
        <w:ind w:hanging="0" w:start="0"/>
        <w:rPr/>
      </w:pPr>
      <w:r>
        <w:rPr/>
        <w:t>Value at Risk</w:t>
      </w:r>
    </w:p>
    <w:p>
      <w:pPr>
        <w:pStyle w:val="Normal"/>
        <w:rPr/>
      </w:pPr>
      <w:r>
        <w:rPr/>
        <w:t>This shortcoming of stress testing, in addition to external pressure to companies from regulatory agencies to report accurately the market risks assumed, prompted firms to develop alternative methodologies to measure risk. One solution is to determine statistical distributions of returns over a given time horizon, for example one day or one quarter. The creation of these distributions of returns for a portfolio of financial instruments is generally referred to as value at risk (VaR).</w:t>
      </w:r>
    </w:p>
    <w:p>
      <w:pPr>
        <w:pStyle w:val="Normal"/>
        <w:rPr/>
      </w:pPr>
      <w:r>
        <w:rPr/>
        <w:t>In determining the VaR, the first step is determining the variables or risk factors that affect the value of a portfolio. Standard statistical tools such as Probit, Factorial Analysis or Econometric models facilitate the determination of the risk factors. The second step is to make assumptions about the outcomes distribution of the risk factors. Historical series are usually used. The third step is to perform repeated draws from this distribution and use them as inputs to revalue the current portfolio. The outputs are then compiled to form a distribution of returns, boundaries on which are set to determine the values at risk, usually the values beyond a particular level of confidence or “tail” of the distribution.</w:t>
      </w:r>
    </w:p>
    <w:p>
      <w:pPr>
        <w:pStyle w:val="Normal"/>
        <w:rPr/>
      </w:pPr>
      <w:r>
        <w:rPr/>
        <w:t>Even though in concept is relatively simple, there are practical considerations critical to the process. The first is the dynamic nature of risk. Volatilities and correlations of risk factors are constantly changing, new contracts are signed and old contracts are abrogated, or even new risk factors might appear. An example of the latter is the bankruptcy of a utility. The accuracy of the measuring scheme, therefore, might degrade even if at a particular moment in time it captured risk with great precision. It is required, then, to establish revision frequency policies to all the steps described above. Of course, the review of the structural elements of the model— the steps one and two above, also called the risk profiles— entails a significant effort. In addition, changes to the structural model represent “a change in the base” that might limit the comparability between the “old” and the “new” structure. Backtesting the results is a method of verifying the validity of the structural model.</w:t>
      </w:r>
    </w:p>
    <w:p>
      <w:pPr>
        <w:pStyle w:val="Normal"/>
        <w:rPr/>
      </w:pPr>
      <w:r>
        <w:rPr/>
        <w:t>Backtesting is a general term for any technique that compares the predicted risk positions with the actual outcomes for the period under analysis. For example, the actual values resulting from the operations of the company in a given environment constrained by the risk variables are compared with the predictions of the risk model over a certain number of periods. If the difference between the two is significant above a certain level established by policy, then the risk profile needs to be updated.</w:t>
      </w:r>
    </w:p>
    <w:p>
      <w:pPr>
        <w:pStyle w:val="Normal"/>
        <w:rPr/>
      </w:pPr>
      <w:r>
        <w:rPr/>
        <w:t>There are three basic types of VaR. The first, the “covariance matrix” method uses the volatilities and correlations of risk factors.</w:t>
      </w:r>
      <w:r>
        <w:rPr>
          <w:rStyle w:val="FootnoteCharacters"/>
          <w:rStyle w:val="FootnoteReference"/>
        </w:rPr>
        <w:footnoteReference w:id="8"/>
      </w:r>
      <w:r>
        <w:rPr/>
        <w:t xml:space="preserve"> Exposures are generally assumed to be linear, meaning that changes in one of the risk factors will produce proportional changes in the outcomes. This method does not handle certain types of financial instruments, such as options that are mostly nonlinear, very well. The second, the Monte-Carlo method, also employs a covariance matrix, but instead using techniques to compute gambling odds, the simulation engine runs a very large number of possible outcomes and aggregates the results in a distribution. This is a very flexible method, but uses enormous computing power. The third method, the historical simulation, takes a normalized risk profile and runs it through actual market prices and a recent interval of time (perhaps the past two to five years). The normalized value changes are then arranged in a return distribution. As can be seen, VaR methods rely on significant amounts of data to model the distributions. Regretfully (or fortunately!) regulatory events are not that frequent as to build distributions of events and then produce outcome distributions. On the other hand, regulatory events are dependent on the outcomes of certain policy decisions and therefore there are significant feedback loops that depart from compliance of fundamental assumptions of the different VaR methods. It is necessary, therefore, to assess risk that is more qualitative in nature, but also that can capture the nuances and implications of highly complex regulatory policy decisions. Such method could be Scenario Analysis.</w:t>
      </w:r>
    </w:p>
    <w:p>
      <w:pPr>
        <w:pStyle w:val="Heading3"/>
        <w:ind w:hanging="0" w:start="0"/>
        <w:rPr/>
      </w:pPr>
      <w:r>
        <w:rPr/>
        <w:t>Scenario Analysis</w:t>
      </w:r>
    </w:p>
    <w:p>
      <w:pPr>
        <w:pStyle w:val="Normal"/>
        <w:rPr/>
      </w:pPr>
      <w:r>
        <w:rPr/>
        <w:t>The previous two methods analyze the direct impact of changes of the variables in a valuation model. Since Scenario analysis fits better with the risks associated with the regulatory process, we will provide a more in depth description of its goals, concepts and processes. Its goal is to go beyond the variables directly modeled, measuring the direct and indirect impact on cash flows over a period of time of a variety of events associated with a particular scenario. Examples of such scenarios are the prohibition of power exports in California, the return to RoR regulation for particular power plants under certain conditions, etc.</w:t>
      </w:r>
    </w:p>
    <w:p>
      <w:pPr>
        <w:pStyle w:val="Normal"/>
        <w:rPr/>
      </w:pPr>
      <w:r>
        <w:rPr/>
        <w:t>Stress testing and VaR techniques are designed to look at the risk to a firm’s trading portfolio from changes in market prices over a short period of time. These are valuable tools for the risk manager and provide important information to traders and management about the risk in the trading portfolio. They cannot, however, account for those events that are potentially more catastrophic to a firm –namely major changes in the external macroeconomic political and regulatory environment that have an effect well beyond their immediate impact on the value of the trading portfolio. When used in combination with stress testing and VaR calculation, this methodology serves to round out a firm’s risk management practice.</w:t>
      </w:r>
    </w:p>
    <w:p>
      <w:pPr>
        <w:pStyle w:val="Normal"/>
        <w:rPr/>
      </w:pPr>
      <w:r>
        <w:rPr/>
        <w:t>Scenario analysis is a strategic technique, which enables a firm to evaluate the potential impact on its earnings stream of various different eventualities. It uses multidimensional projections, and helps the firm to assess its longer-term strategic vulnerabilities. In this context, it is important to distinguish between the respective roles of scenario analysis and stress testing. Both are forward looking techniques seeking to quantify the potential loss that might arise as a consequence of unlikely events. Stress testing is designed to evaluate the short-term impact on a given portfolio of a series of predefined moves, in particular market variables. Scenario analysis on the other hand, seeks to assess the broader impact on the firm of more complex and interrelated developments. Huge losses often occur due to a sequence of several adverse events. Scenario analysis can help identify such potential problems well in advance.</w:t>
      </w:r>
    </w:p>
    <w:p>
      <w:pPr>
        <w:pStyle w:val="Normal"/>
        <w:rPr/>
      </w:pPr>
      <w:r>
        <w:rPr/>
        <w:t>The purpose of scenario analysis is to help the firm’s decision-makers think about, and understand the impact of unlikely but catastrophic, events before they happen. Rolling blackouts in California during the spring of 2001, and the increased political pressure to re-regulate California’s electricity industry with the subsequent contagion effects to other states and even countries is a typical example of such extreme situations where the assumptions valid in the past break down. Due to its holistic nature, senior management usually initiates the Scenario Analysis and it is recognized as a very subjective way of assessing risk. In the case of Regulatory Risks, the analysis should also be initiated by senior management of GRA, based on inputs from the people in the regions. The results of the analyses, then, are “plugged-in” company-wide analyses.</w:t>
      </w:r>
    </w:p>
    <w:p>
      <w:pPr>
        <w:pStyle w:val="Normal"/>
        <w:rPr/>
      </w:pPr>
      <w:r>
        <w:rPr/>
        <w:t>The process of scenario analysis can be decomposed into five steps: (i) Scenario Definition that encompasses the description of the starting scenario, description of basic assumptions, and definition of time horizons; (ii) Scenario-field analysis that includes the identification of the risk dimensions and risk factors impacted; (iii) Scenario projections that estimate the movements of the identified scenario factors and determine the potential loss; (iv) Scenario consolidation that aggregate the results of the different dimensions, check for consistency and reality checks; and (v) Scenario presentation and follow-up, where the results are presented to senior management, analysis and evaluation is performed, and measures to mitigate the risk are taken.</w:t>
      </w:r>
    </w:p>
    <w:p>
      <w:pPr>
        <w:pStyle w:val="Heading4"/>
        <w:ind w:hanging="0" w:start="0"/>
        <w:rPr/>
      </w:pPr>
      <w:r>
        <w:rPr/>
        <w:t>Step 1: Scenario Definition</w:t>
      </w:r>
    </w:p>
    <w:p>
      <w:pPr>
        <w:pStyle w:val="Normal"/>
        <w:rPr/>
      </w:pPr>
      <w:r>
        <w:rPr/>
        <w:t>The first step in the process is to define a plausible scenario. Although recognizing a relevant scenario is more an art than a science, there are two basic principles of scenario selection: knowing the portfolio of projects and positions, and understanding the relevant events in the marketplace. Numerous factors could affect a portfolio such as stock price meltdowns, currency devaluation, extreme weather conditions, political elections, tax reforms, or bankruptcy of a major customer. For example, if Enron had a significant short position in Texas before the market opens, management might require a scenario analysis to determine the impact of a delay in the start of retail competition. The short position (i.e., Enron is a net buyer) would entail the need to close the positions, possibly at a loss due to a more restricted pool of buyers of the contracts that could not place. Thus, running different start date scenarios would be useful information to find a balance between the returns to be obtained from retail competition and the capital risk to be invested in the positions.</w:t>
      </w:r>
    </w:p>
    <w:p>
      <w:pPr>
        <w:pStyle w:val="Normal"/>
        <w:rPr/>
      </w:pPr>
      <w:r>
        <w:rPr/>
        <w:t>Scenarios are typically requested and broadly defined by senior management because they are the most familiar with the firm’s business and the external factors that affect the firm’s earnings. These scenarios ask the question: “What is the impact of …” and are often accompanied by specific scenario conditions and basic assumptions. Sometimes the risk group itself initiates and develops scenarios in order to identify potential weaknesses in their risk management process and to make sure that the firm is capable to survive even unlikely but catastrophic complex events. For this purpose, one might take historic scenarios like the Dabhol project, California crisis, Venezuela’s 1994 currency control, or Midwest’s summer of 1997 price spikes. New scenarios could be developed as well, for example a natural disaster, an unexpected economic event, or long-term market scenarios such as a recession in a group of determined countries.</w:t>
      </w:r>
    </w:p>
    <w:p>
      <w:pPr>
        <w:pStyle w:val="Normal"/>
        <w:rPr/>
      </w:pPr>
      <w:r>
        <w:rPr/>
        <w:t>It is recommended to specify with enough detail the scenario and key assumptions to ensure that all the experts interpret the scenario in the same way. Details like time horizons, specific locations, scope of the analysis and products, should be provided to limit the endeavor. Since there is no stop rule as to the implications of a particular scenario, care must be taken to avoid overkilling the analysis, over-evaluating the results, and analyze something that was not requested.</w:t>
      </w:r>
    </w:p>
    <w:p>
      <w:pPr>
        <w:pStyle w:val="Heading4"/>
        <w:ind w:hanging="0" w:start="0"/>
        <w:rPr/>
      </w:pPr>
      <w:r>
        <w:rPr/>
        <w:t>Step 2: Scenario-field analysis</w:t>
      </w:r>
    </w:p>
    <w:p>
      <w:pPr>
        <w:pStyle w:val="Normal"/>
        <w:rPr/>
      </w:pPr>
      <w:r>
        <w:rPr/>
        <w:t>After defining the scenario, the next step in the preparation phase is an extensive interview process. This process incorporates the appropriate business areas and other experts within the organization to further refine the scenario, compiling the relevant data needed. The interview process should be standardized to ensure consistent feedback. One approach could be to give all the interviewees a written description of the scenario, along with a list of questions, and ask them to respond by a specific date. A more refined approach is called the Delphi Method. Under this method, each interviewee is provided with the list of questions and requested the responses by a certain date, along with the description of the process. Once the responses from each participant are obtained, these responses (without indicating the respondent but the list of interviewees) are forwarded to the other interviewees to determine whether they would change their initial responses in view of the additional information/points of view of the other participants. This process is repeated until the responses converge. Alternatively, the interviewer can summarize the responses to have the process converge faster.</w:t>
      </w:r>
    </w:p>
    <w:p>
      <w:pPr>
        <w:pStyle w:val="Normal"/>
        <w:rPr/>
      </w:pPr>
      <w:r>
        <w:rPr/>
        <w:t>The purpose of the scenario-field analysis is to identify all relevant risk dimensions and risk factors, also called “scenario fields” which are affected by the scenario. For example, strong movements in the stock market might trigger defaults of some firms causing substantial credit losses, an event that is already taken into account by traditional risk management procedures. On the other hand, interest rates or stock market movements which themselves might not be severe, might trigger movements in other markets with severe consequences, for example in energy markets as it is happening in this moment, where the price of gas has dropped its price two thirds from recent highs. Also, second order and third order effects have to be taken into account, for example effects on future earnings, staffing, etc.</w:t>
      </w:r>
    </w:p>
    <w:p>
      <w:pPr>
        <w:pStyle w:val="Heading4"/>
        <w:ind w:hanging="0" w:start="0"/>
        <w:rPr/>
      </w:pPr>
      <w:r>
        <w:rPr/>
        <w:t>Step 3: Scenario projections</w:t>
      </w:r>
    </w:p>
    <w:p>
      <w:pPr>
        <w:pStyle w:val="Normal"/>
        <w:rPr/>
      </w:pPr>
      <w:r>
        <w:rPr/>
        <w:t>This is the heart of scenario analysis. For each scenario field identified, a prognostic of the potential development within the given time horizon and of the associated potential losses have to be determined. This step should be carried out by or in close contact with the appropriate business unit and experts. In this context, it should be mentioned that it is not the goal to determine the most likely scenario but to identify a range of adverse to extreme scenarios. Therefore, this process will result not in an estimate but a range of estimates of potential returns. Furthermore, it should be emphasized that the process is not an exact science, but rather uses as inputs, and produces best estimates.</w:t>
      </w:r>
    </w:p>
    <w:p>
      <w:pPr>
        <w:pStyle w:val="Normal"/>
        <w:rPr/>
      </w:pPr>
      <w:r>
        <w:rPr/>
        <w:t>During the information gathering process, the scenario itself will become more clearly defined as feedback is received. For example, the analyst might find out from a trader that wholesale prices in Canadian gas might be affected by deregulation efforts in New York, given its reliance on gas turbine generation. This event would be included then in the process. The scenario analysis process, therefore, has to be flexible enough to incorporate refinements and updates to the initial scenario as the analyses and interviews proceed, allowing for multiple iterations to both include and remove variables.</w:t>
      </w:r>
    </w:p>
    <w:p>
      <w:pPr>
        <w:pStyle w:val="Heading4"/>
        <w:ind w:hanging="0" w:start="0"/>
        <w:rPr/>
      </w:pPr>
      <w:r>
        <w:rPr/>
        <w:t>Step 4: Scenario consolidation</w:t>
      </w:r>
    </w:p>
    <w:p>
      <w:pPr>
        <w:pStyle w:val="Normal"/>
        <w:rPr/>
      </w:pPr>
      <w:r>
        <w:rPr/>
        <w:t xml:space="preserve">The projections developed for each scenario field are consolidated into one consistent scenario. The scenario needs to be checked not only for consistency errors but also for double counting or contradictory assumptions. Results must be checked, although as obvious as it might seem, for reasonableness. The usual suspects are outliers and inconsistent feedback. Correlation matrices developed for VaR analyses could also provide independent verification for inputs provided by the experts. If there are one or two outliers, follow up with the person interviewed might be required to make sure that he or she understood what was being asked. Inconsistent information is frequently caused by misunderstood questions. </w:t>
      </w:r>
    </w:p>
    <w:p>
      <w:pPr>
        <w:pStyle w:val="Normal"/>
        <w:rPr/>
      </w:pPr>
      <w:r>
        <w:rPr/>
        <w:t>In order to prevent receiving such information, it is a good idea to conduct some background research prior to the review. This includes reviewing current and prior years’ actual earnings, understanding current market conditions to compare to the projected conditions, obtaining future revenue projections from the budgeting department as an independent check, and obtaining a baseline revenue projection. This last review would give an indication of the proportion to the total earnings of the company, of the scenario's impact. When checking market move projections over a certain period of time, it might be useful to ask the interviewees what a typical move in that market would be, to find out if the scenario results make sense. If inconsistent information was received, the analyst might need to redefine the scenario. Whenever possible, it should be performed consistency checks against historical data to compare the results from the interview process. Also, an analysis of the profit and loss history (P&amp;L) for the various business units might provide clues on whether the results make sense. Examining the market value of the portfolio for any significant changes or a look at the volatility of the P&amp;L might provide insights on whether the results are online with what is expected. The important thing is to have an independent verification of the reasonableness of the results, and if they are not, look for the cause leading to it. Surprises do arise, and this is what this whole exercise is about.</w:t>
      </w:r>
    </w:p>
    <w:p>
      <w:pPr>
        <w:pStyle w:val="Heading4"/>
        <w:ind w:hanging="0" w:start="0"/>
        <w:rPr/>
      </w:pPr>
      <w:r>
        <w:rPr/>
        <w:t>Step 5: Scenario presentation and follow-up</w:t>
      </w:r>
    </w:p>
    <w:p>
      <w:pPr>
        <w:pStyle w:val="Normal"/>
        <w:rPr/>
      </w:pPr>
      <w:r>
        <w:rPr/>
        <w:t xml:space="preserve">The final analysis and presentation of the results is a critical step in the process. Evaluating the results and drawing conclusions can be quite challenging, as it is a highly subjective process and therefore requires an interpreter with both experience and judgment. </w:t>
      </w:r>
    </w:p>
    <w:p>
      <w:pPr>
        <w:pStyle w:val="Normal"/>
        <w:rPr/>
      </w:pPr>
      <w:r>
        <w:rPr/>
        <w:t>Scenario results are frequently surprising and sometimes doubted. Often, people are shocked by the magnitude of the potential loss. Although the probability of a scenario event is typically low, the results should not be discounted due to the magnitude of the loss. Since the analysis is subjective, it is easy to pole holes at any of the assumptions being made, particularly from the commercial functions directly affected. Given the circumstances surrounding most scenario discussions, the dialogue is iterative. When presenting the results, therefore, it is very important to state clearly what the assumptions and objectives of the exercise were, before the results of the analysis are presented to allow its correct interpretation and understand its value.</w:t>
      </w:r>
    </w:p>
    <w:p>
      <w:pPr>
        <w:pStyle w:val="Normal"/>
        <w:rPr/>
      </w:pPr>
      <w:r>
        <w:rPr/>
        <w:t>The primary goal of a scenario analysis is to get the audience to recognize that damaging losses can happen, but more importantly, to allow management to take appropriate action to prepare for the unlikely extreme events. The presentation should be a learning experience for everyone involved. As a result of the successful presentation, some plan of action must be developed. Follow-up can be as simple as:</w:t>
      </w:r>
    </w:p>
    <w:p>
      <w:pPr>
        <w:pStyle w:val="Normal"/>
        <w:numPr>
          <w:ilvl w:val="0"/>
          <w:numId w:val="2"/>
        </w:numPr>
        <w:tabs>
          <w:tab w:val="clear" w:pos="720"/>
          <w:tab w:val="left" w:pos="1080" w:leader="none"/>
        </w:tabs>
        <w:ind w:hanging="360" w:start="1080" w:end="0"/>
        <w:rPr/>
      </w:pPr>
      <w:r>
        <w:rPr/>
        <w:t>Put on a hedge;</w:t>
      </w:r>
    </w:p>
    <w:p>
      <w:pPr>
        <w:pStyle w:val="Normal"/>
        <w:numPr>
          <w:ilvl w:val="0"/>
          <w:numId w:val="2"/>
        </w:numPr>
        <w:tabs>
          <w:tab w:val="clear" w:pos="720"/>
          <w:tab w:val="left" w:pos="1080" w:leader="none"/>
        </w:tabs>
        <w:ind w:hanging="360" w:start="1080" w:end="0"/>
        <w:rPr/>
      </w:pPr>
      <w:r>
        <w:rPr/>
        <w:t>Put on a specific trade;</w:t>
      </w:r>
    </w:p>
    <w:p>
      <w:pPr>
        <w:pStyle w:val="Normal"/>
        <w:numPr>
          <w:ilvl w:val="0"/>
          <w:numId w:val="2"/>
        </w:numPr>
        <w:tabs>
          <w:tab w:val="clear" w:pos="720"/>
          <w:tab w:val="left" w:pos="1080" w:leader="none"/>
        </w:tabs>
        <w:ind w:hanging="360" w:start="1080" w:end="0"/>
        <w:rPr/>
      </w:pPr>
      <w:r>
        <w:rPr/>
        <w:t>Develop a new instrument (as a way of partially hedging a strong position)</w:t>
      </w:r>
      <w:r>
        <w:rPr>
          <w:rStyle w:val="FootnoteCharacters"/>
          <w:rStyle w:val="FootnoteReference"/>
        </w:rPr>
        <w:footnoteReference w:id="9"/>
      </w:r>
    </w:p>
    <w:p>
      <w:pPr>
        <w:pStyle w:val="Normal"/>
        <w:numPr>
          <w:ilvl w:val="0"/>
          <w:numId w:val="2"/>
        </w:numPr>
        <w:tabs>
          <w:tab w:val="clear" w:pos="720"/>
          <w:tab w:val="left" w:pos="1080" w:leader="none"/>
        </w:tabs>
        <w:ind w:hanging="360" w:start="1080" w:end="0"/>
        <w:rPr/>
      </w:pPr>
      <w:r>
        <w:rPr/>
        <w:t>Develop a repeatable process;</w:t>
      </w:r>
    </w:p>
    <w:p>
      <w:pPr>
        <w:pStyle w:val="Normal"/>
        <w:numPr>
          <w:ilvl w:val="0"/>
          <w:numId w:val="2"/>
        </w:numPr>
        <w:tabs>
          <w:tab w:val="clear" w:pos="720"/>
          <w:tab w:val="left" w:pos="1080" w:leader="none"/>
        </w:tabs>
        <w:ind w:hanging="360" w:start="1080" w:end="0"/>
        <w:rPr/>
      </w:pPr>
      <w:r>
        <w:rPr/>
        <w:t>Do nothing. It is important that this option is exercised consciously and not by default due to lack of analysis.</w:t>
      </w:r>
    </w:p>
    <w:p>
      <w:pPr>
        <w:pStyle w:val="Subject"/>
        <w:rPr/>
      </w:pPr>
      <w:r>
        <w:rPr/>
        <w:t>As can be seen from the above, since regulatory risks are non-repetitive events, highly dependent on the circumstances under which the rules and regulations would be implemented, each case requires its own study. The beauty of VaR is that it allows the routinization of the process, the definition of company-wide risk that can be disagreggated even to the trader level and therefore, setting limits to what that trader can do and build up from there. VaR models rely on a significant amount of data that allows for very exhaustive analyses, whereas Scenario analysis makes inferences of what might happen based on one-time events that might not have clear precedents, and where the inputs are based basically on judgment that for some might reduce its validity. Still, it is the best approach available to measure regulatory risks.</w:t>
      </w:r>
    </w:p>
    <w:p>
      <w:pPr>
        <w:pStyle w:val="CopyList"/>
        <w:rPr>
          <w:rFonts w:ascii="Arial" w:hAnsi="Arial" w:cs="Arial"/>
          <w:b/>
        </w:rPr>
      </w:pPr>
      <w:r>
        <w:rPr>
          <w:rFonts w:cs="Arial" w:ascii="Arial" w:hAnsi="Arial"/>
          <w:b/>
        </w:rPr>
        <w:t>CC:</w:t>
      </w:r>
    </w:p>
    <w:p>
      <w:pPr>
        <w:pStyle w:val="Normal"/>
        <w:rPr>
          <w:rFonts w:ascii="Arial" w:hAnsi="Arial" w:cs="Arial"/>
        </w:rPr>
      </w:pPr>
      <w:r>
        <w:rPr>
          <w:rFonts w:cs="Arial" w:ascii="Arial" w:hAnsi="Arial"/>
        </w:rPr>
        <w:t>Amr Ibrahim</w:t>
      </w:r>
    </w:p>
    <w:p>
      <w:pPr>
        <w:pStyle w:val="Normal"/>
        <w:spacing w:before="60" w:after="60"/>
        <w:rPr>
          <w:rFonts w:ascii="Arial" w:hAnsi="Arial" w:cs="Arial"/>
        </w:rPr>
      </w:pPr>
      <w:r>
        <w:rPr>
          <w:rFonts w:cs="Arial" w:ascii="Arial" w:hAnsi="Arial"/>
        </w:rPr>
        <w:t>Rick Shapiro</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tab/>
      <w:t xml:space="preserve">Page </w:t>
    </w:r>
    <w:r>
      <w:rPr/>
      <w:fldChar w:fldCharType="begin"/>
    </w:r>
    <w:r>
      <w:rPr/>
      <w:instrText xml:space="preserve"> PAGE </w:instrText>
    </w:r>
    <w:r>
      <w:rPr/>
      <w:fldChar w:fldCharType="separate"/>
    </w:r>
    <w:r>
      <w:rPr/>
      <w:t>11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60" w:after="60"/>
        <w:ind w:hanging="360" w:start="360" w:end="0"/>
        <w:rPr/>
      </w:pPr>
      <w:r>
        <w:rPr>
          <w:rStyle w:val="FootnoteCharacters"/>
        </w:rPr>
        <w:footnoteRef/>
      </w:r>
      <w:r>
        <w:rPr/>
        <w:t xml:space="preserve"> </w:t>
      </w:r>
      <w:r>
        <w:rPr/>
        <w:tab/>
        <w:t>It should be noted that Enron already has risk analytics functions evaluating different types of risk. A brief description of these is offered to provide a broad overview of how risk is managed from differing perspectives within the company.</w:t>
      </w:r>
    </w:p>
  </w:footnote>
  <w:footnote w:id="3">
    <w:p>
      <w:pPr>
        <w:pStyle w:val="FootnoteText"/>
        <w:spacing w:before="60" w:after="60"/>
        <w:ind w:hanging="360" w:start="360" w:end="0"/>
        <w:rPr/>
      </w:pPr>
      <w:r>
        <w:rPr>
          <w:rStyle w:val="FootnoteCharacters"/>
        </w:rPr>
        <w:footnoteRef/>
      </w:r>
      <w:r>
        <w:rPr/>
        <w:t xml:space="preserve"> </w:t>
      </w:r>
      <w:r>
        <w:rPr/>
        <w:tab/>
        <w:t xml:space="preserve">There is neither uniform categorization of business risks, nor a single definition for them, but for standardization of the terms, it will be used those of </w:t>
      </w:r>
      <w:r>
        <w:rPr>
          <w:i/>
        </w:rPr>
        <w:t>The Practice of Risk Management.</w:t>
      </w:r>
      <w:r>
        <w:rPr/>
        <w:t xml:space="preserve"> Goldman Sacks and Co and Swiss Bank Corp. (1998). London, UK: Euromoney.</w:t>
      </w:r>
    </w:p>
  </w:footnote>
  <w:footnote w:id="4">
    <w:p>
      <w:pPr>
        <w:pStyle w:val="FootnoteText"/>
        <w:spacing w:before="60" w:after="60"/>
        <w:ind w:hanging="360" w:start="360" w:end="0"/>
        <w:rPr/>
      </w:pPr>
      <w:r>
        <w:rPr>
          <w:rStyle w:val="FootnoteCharacters"/>
        </w:rPr>
        <w:footnoteRef/>
      </w:r>
      <w:r>
        <w:rPr/>
        <w:t xml:space="preserve"> </w:t>
      </w:r>
      <w:r>
        <w:rPr/>
        <w:tab/>
        <w:t>This definition leaves out the more complicated issue of correlations among several positions that could potentially reduce the overall negative impact. For example, a weather collar in Chicago is negatively related with a contract to deliver gas at Chicago City Gate: if the temperature drops below a certain level, Enron will have to pay the counterpart the amount agreed. The price of gas, in turn, should increase due to greater demand. In this example, the gas contract is negatively correlated with the weather product. Therefore, evaluating each risk individually and not consider the correlation between both products is too conservative. Although this is a real issue in evaluating market risk, it is presumed that its impact on regulatory risk is much less significant, and therefore individual evaluation is proposed.</w:t>
      </w:r>
    </w:p>
  </w:footnote>
  <w:footnote w:id="5">
    <w:p>
      <w:pPr>
        <w:pStyle w:val="FootnoteText"/>
        <w:spacing w:before="60" w:after="60"/>
        <w:ind w:hanging="360" w:start="360" w:end="0"/>
        <w:rPr/>
      </w:pPr>
      <w:r>
        <w:rPr>
          <w:rStyle w:val="FootnoteCharacters"/>
        </w:rPr>
        <w:footnoteRef/>
      </w:r>
      <w:r>
        <w:rPr/>
        <w:t xml:space="preserve"> </w:t>
      </w:r>
      <w:r>
        <w:rPr/>
        <w:tab/>
        <w:t>It will be assumed in this document that we would be giving support to RAC and that we would comply with their their reporting, verification and audit processes, and therefore we will not analyze them here.</w:t>
      </w:r>
    </w:p>
  </w:footnote>
  <w:footnote w:id="6">
    <w:p>
      <w:pPr>
        <w:pStyle w:val="FootnoteText"/>
        <w:spacing w:before="60" w:after="60"/>
        <w:ind w:hanging="360" w:start="360" w:end="0"/>
        <w:rPr/>
      </w:pPr>
      <w:r>
        <w:rPr>
          <w:rStyle w:val="FootnoteCharacters"/>
        </w:rPr>
        <w:footnoteRef/>
      </w:r>
      <w:r>
        <w:rPr/>
        <w:t xml:space="preserve"> </w:t>
      </w:r>
      <w:r>
        <w:rPr/>
        <w:tab/>
        <w:t>A position here refers to the level of commitments acquired from trades. For example, in April 2001, Enron had a negative or long position (it had a commitment to buy from generators) in California in excess of 2.6 million kWh. A neutral position refers to the absence of commitments, or that the commitment to buy equal the commitment to sell. It is important to mention that, unless a contractual arrangement exists to deliver the good or service in exchange of cash or another financial instrument, ownership of an asset also represents a position, more specifically, a long position in the output of the asset. For example, a portion of the output of the Bahia Las Minas Project in Panama is merchant. Absent a PPA for this output, we have to find a customer to deliver this energy. Another example is the Dabhol Project. Under the original terms of the transaction, the Maharashtra State Electricity Board committed to buy all the power generated by the plant. We would be, therefore, in a neutral position. However, there is the risk that the PPA would be abrogated, turning our position from neutral to long. Since the power delivered by Dabhol is relatively expensive, there is the market risk that the plant would not be dispatched and the investment would not be recovered. In this particular case, changes in the regulations to allow the abrogation of the contract is what we refer to as regulatory risk.</w:t>
      </w:r>
    </w:p>
    <w:p>
      <w:pPr>
        <w:pStyle w:val="FootnoteText"/>
        <w:spacing w:before="60" w:after="60"/>
        <w:ind w:hanging="0" w:end="0"/>
        <w:rPr/>
      </w:pPr>
      <w:r>
        <w:rPr/>
        <w:t>In any event, although certainly related because a change in one will affect future developments in the other, it does not refer to policy positions, such as the removal of price caps in the California Ancillary Services Market.</w:t>
      </w:r>
    </w:p>
  </w:footnote>
  <w:footnote w:id="7">
    <w:p>
      <w:pPr>
        <w:pStyle w:val="FootnoteText"/>
        <w:spacing w:before="60" w:after="60"/>
        <w:ind w:hanging="360" w:start="360" w:end="0"/>
        <w:rPr/>
      </w:pPr>
      <w:r>
        <w:rPr>
          <w:rStyle w:val="FootnoteCharacters"/>
        </w:rPr>
        <w:footnoteRef/>
      </w:r>
      <w:r>
        <w:rPr/>
        <w:t xml:space="preserve"> </w:t>
      </w:r>
      <w:r>
        <w:rPr/>
        <w:tab/>
        <w:t>Strictly speaking, the probability distribution is subjectively embedded in the variables moves suggested. Given the lack of repetitive events to build this distribution, it is necessary to rely on the analyst’s experience. Therefore, this methodology is acceptable, as long as all the assumptions are clearly established.</w:t>
      </w:r>
    </w:p>
  </w:footnote>
  <w:footnote w:id="8">
    <w:p>
      <w:pPr>
        <w:pStyle w:val="FootnoteText"/>
        <w:spacing w:before="60" w:after="60"/>
        <w:ind w:hanging="360" w:start="360" w:end="0"/>
        <w:rPr/>
      </w:pPr>
      <w:r>
        <w:rPr>
          <w:rStyle w:val="FootnoteCharacters"/>
        </w:rPr>
        <w:footnoteRef/>
      </w:r>
      <w:r>
        <w:rPr/>
        <w:t xml:space="preserve"> </w:t>
      </w:r>
      <w:r>
        <w:rPr/>
        <w:tab/>
        <w:t>Volatility is the term used to designate the variation of a particular parameter. A parameter, be the value of a stock, consumption of electricity, or gas prices at a certain location, is said to be volatile if the variation in the parameter is large compared to its average. Correlation measures the relationship between two parameters. If one of the parameters move in one direction and with a certain magnitude and the other moves in the same direction and a similar magnitude, both parameters are said to be correlated.</w:t>
      </w:r>
    </w:p>
  </w:footnote>
  <w:footnote w:id="9">
    <w:p>
      <w:pPr>
        <w:pStyle w:val="FootnoteText"/>
        <w:spacing w:before="60" w:after="60"/>
        <w:ind w:hanging="360" w:start="360" w:end="0"/>
        <w:rPr/>
      </w:pPr>
      <w:r>
        <w:rPr>
          <w:rStyle w:val="FootnoteCharacters"/>
        </w:rPr>
        <w:footnoteRef/>
      </w:r>
      <w:r>
        <w:rPr/>
        <w:t xml:space="preserve"> </w:t>
      </w:r>
      <w:r>
        <w:rPr/>
        <w:tab/>
        <w:t>An example is the family of weather instruments. I do not know the origin of these financial instruments but I could presume that weather payouts are negatively correlated with gas and electricity positions, i.e., the more extreme the weather (both hot and cold weather), the more gas and/or electricity Enron is more likely to sell and the earnings are greater. This payout is diminished by weather instruments-related payments. If extreme weather does not materialize, however, Enron might be stuck with a very large position in both commodities and significant losses might occur. Counterbalancing these losses, weather related instruments bring significant profits that partially hedge the commodity positions (and makes us look smart!)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lear" w:pos="9000"/>
        <w:tab w:val="center" w:pos="4320" w:leader="none"/>
        <w:tab w:val="right" w:pos="9360" w:leader="none"/>
      </w:tabs>
      <w:rPr/>
    </w:pPr>
    <w:r>
      <w:rPr/>
      <w:tab/>
      <w:tab/>
    </w:r>
    <w:r>
      <w:rPr/>
      <w:fldChar w:fldCharType="begin"/>
    </w:r>
    <w:r>
      <w:rPr/>
      <w:instrText xml:space="preserve"> DATE \@"M/d/yyyy" </w:instrText>
    </w:r>
    <w:r>
      <w:rPr/>
      <w:fldChar w:fldCharType="separate"/>
    </w:r>
    <w:r>
      <w:rPr/>
      <w:t>9/28/2025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keepNext w:val="true"/>
      <w:keepLines/>
      <w:numPr>
        <w:ilvl w:val="2"/>
        <w:numId w:val="1"/>
      </w:numPr>
      <w:outlineLvl w:val="2"/>
    </w:pPr>
    <w:rPr>
      <w:sz w:val="20"/>
    </w:rPr>
  </w:style>
  <w:style w:type="paragraph" w:styleId="Heading4">
    <w:name w:val="heading 4"/>
    <w:basedOn w:val="Normal"/>
    <w:next w:val="Normal"/>
    <w:qFormat/>
    <w:pPr>
      <w:keepNext w:val="true"/>
      <w:numPr>
        <w:ilvl w:val="3"/>
        <w:numId w:val="1"/>
      </w:numPr>
      <w:spacing w:before="240" w:after="60"/>
      <w:outlineLvl w:val="3"/>
    </w:pPr>
    <w:rPr>
      <w:i/>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rPr>
      <w:b/>
      <w:i/>
    </w:rPr>
  </w:style>
  <w:style w:type="paragraph" w:styleId="List">
    <w:name w:val="List"/>
    <w:basedOn w:val="Normal"/>
    <w:pPr>
      <w:ind w:hanging="36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1.e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Interoffice Memo - AL</Template>
  <TotalTime>453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2001-08-28T14:05:00Z</dcterms:created>
  <dc:creator>Alberto Levy</dc:creator>
  <dc:description/>
  <dc:language>en-CA</dc:language>
  <cp:lastModifiedBy>Alberto Levy</cp:lastModifiedBy>
  <cp:lastPrinted>2001-09-05T11:42:00Z</cp:lastPrinted>
  <dcterms:modified xsi:type="dcterms:W3CDTF">2001-09-25T14:09:00Z</dcterms:modified>
  <cp:revision>16</cp:revision>
  <dc:subject/>
  <dc:title>Enron International Memo</dc:title>
</cp:coreProperties>
</file>