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20"/>
        </w:rPr>
      </w:pPr>
      <w:r>
        <w:rPr>
          <w:rFonts w:cs="Arial" w:ascii="Arial" w:hAnsi="Arial"/>
          <w:b/>
          <w:bCs/>
          <w:sz w:val="20"/>
        </w:rPr>
        <w:t>GUEST ACCESS AGREEMENT</w:t>
      </w:r>
    </w:p>
    <w:p>
      <w:pPr>
        <w:pStyle w:val="Normal"/>
        <w:jc w:val="both"/>
        <w:rPr>
          <w:rFonts w:ascii="Arial" w:hAnsi="Arial" w:cs="Arial"/>
          <w:b/>
          <w:bCs/>
          <w:sz w:val="20"/>
        </w:rPr>
      </w:pPr>
      <w:r>
        <w:rPr>
          <w:rFonts w:cs="Arial" w:ascii="Arial" w:hAnsi="Arial"/>
          <w:b/>
          <w:bCs/>
          <w:sz w:val="20"/>
        </w:rPr>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CommodityLogic has developed a website or other Internet-based electronic service platform (the “Website”) through which an authorized user will access and utilize various modules (the “Modules”) containing data related to certain transactions involving the buying and selling of energy products or other commodities (including derivatives products) (the "Transactions").</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The undersigned party (hereinafter “Guest User”) is or intends to become a party to certain Transactions and desires to have access to the Website in order to evaluate and test the Website for suitability for use in Guest User’s business.</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CommodityLogic has agreed to provide access to the Website and certain test data for Guest User to access, manipulate and use during its evaluation and testing of the Website.</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NOW, THEREFORE, in consideration of the promises set forth herein together with other good and valuable consideration, the receipt of which is hereby acknowledged by the parties, CommodityLogic and Guest User agree as follows: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sz w:val="20"/>
          <w:u w:val="single"/>
        </w:rPr>
        <w:t>1.  Scope of Agreement.</w:t>
      </w:r>
      <w:r>
        <w:rPr>
          <w:rFonts w:cs="Arial" w:ascii="Arial" w:hAnsi="Arial"/>
          <w:sz w:val="20"/>
        </w:rPr>
        <w:t xml:space="preserve"> CommodityLogic and Guest User hereby declare, by Guest User "clicking" on the “I ACCEPT” area below this Agreement, their mutual intent to enter into this Agreement electronically and on the terms and conditions set forth herein and to be legally bound by the terms and conditions of this Agreement to the same extent and with the same force and effect as if Guest User had manually executed this Agreement.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2.  Arrangement.</w:t>
      </w:r>
      <w:r>
        <w:rPr>
          <w:rFonts w:cs="Arial" w:ascii="Arial" w:hAnsi="Arial"/>
          <w:sz w:val="20"/>
        </w:rPr>
        <w:t xml:space="preserve"> CommodityLogic agrees to provide Guest User with access to the Website and Modules, and Guest User accepts such access subject to the terms of this Agreement.  Guest User shall have access to and use of the Website and Modules solely for purposes of testing and evaluating the Website and Modules for Guest User’s actual use in assisting with the completion of certain mid and back office functions associated with the Transactions.     </w:t>
      </w:r>
    </w:p>
    <w:p>
      <w:pPr>
        <w:pStyle w:val="Normal"/>
        <w:jc w:val="both"/>
        <w:rPr>
          <w:rFonts w:ascii="Arial" w:hAnsi="Arial" w:cs="Arial"/>
          <w:b/>
          <w:bCs/>
          <w:sz w:val="20"/>
        </w:rPr>
      </w:pPr>
      <w:r>
        <w:rPr>
          <w:rFonts w:cs="Arial" w:ascii="Arial" w:hAnsi="Arial"/>
          <w:b/>
          <w:bCs/>
          <w:sz w:val="20"/>
        </w:rPr>
      </w:r>
    </w:p>
    <w:p>
      <w:pPr>
        <w:pStyle w:val="Normal"/>
        <w:jc w:val="both"/>
        <w:rPr/>
      </w:pPr>
      <w:r>
        <w:rPr>
          <w:rFonts w:cs="Arial" w:ascii="Arial" w:hAnsi="Arial"/>
          <w:b/>
          <w:bCs/>
          <w:sz w:val="20"/>
          <w:u w:val="single"/>
        </w:rPr>
        <w:t>3.  Non-Disclosure.</w:t>
      </w:r>
      <w:r>
        <w:rPr>
          <w:rFonts w:cs="Arial" w:ascii="Arial" w:hAnsi="Arial"/>
          <w:b/>
          <w:bCs/>
          <w:sz w:val="20"/>
        </w:rPr>
        <w:t xml:space="preserve">    </w:t>
      </w:r>
      <w:r>
        <w:rPr>
          <w:rFonts w:cs="Arial" w:ascii="Arial" w:hAnsi="Arial"/>
          <w:sz w:val="20"/>
        </w:rPr>
        <w:t xml:space="preserve">Guest User acknowledges and agrees that in providing the Website, CommodityLogic may disclose to User certain confidential, proprietary trade secret information of CommodityLogic (the "Confidential Information"). Confidential Information may include, but is not limited to, the Website, computer programs, flowcharts, diagrams, manuals, schematics, development tools, specifications, design documents, marketing information, financial information or business plans. During this Agreement and for a period of two (2) years thereafter, User agrees that it will not, without the express prior written consent of CommodityLogic, disclose any Confidential Information or any part thereof to any third party, except to the extent that such Confidential Information (i) is or becomes generally available to the public through no fault of User; (ii) is rightfully received by User from a third party without limitation as to its use or without knowledge that any such third party is subject to any confidentiality obligations; or (iii) is independently developed by User without use of the Confidential Information based upon User’s internal records.  At the termination of this Agreement, User will cease its access to and use of the Website and return to CommodityLogic all other Confidential Information.  Guest User agrees that it will not duplicate, translate, modify, copy, printout, disassemble, decompile or otherwise tamper with the Website or any Modules. </w:t>
      </w:r>
    </w:p>
    <w:p>
      <w:pPr>
        <w:pStyle w:val="Normal"/>
        <w:jc w:val="both"/>
        <w:rPr>
          <w:rFonts w:ascii="Arial" w:hAnsi="Arial" w:cs="Arial"/>
          <w:sz w:val="20"/>
          <w:u w:val="single"/>
        </w:rPr>
      </w:pPr>
      <w:r>
        <w:rPr>
          <w:rFonts w:cs="Arial" w:ascii="Arial" w:hAnsi="Arial"/>
          <w:sz w:val="20"/>
          <w:u w:val="single"/>
        </w:rPr>
      </w:r>
    </w:p>
    <w:p>
      <w:pPr>
        <w:pStyle w:val="Normal"/>
        <w:jc w:val="both"/>
        <w:rPr/>
      </w:pPr>
      <w:r>
        <w:rPr>
          <w:rFonts w:cs="Arial" w:ascii="Arial" w:hAnsi="Arial"/>
          <w:b/>
          <w:bCs/>
          <w:sz w:val="20"/>
          <w:u w:val="single"/>
        </w:rPr>
        <w:t>4.  License/Password.</w:t>
      </w:r>
      <w:r>
        <w:rPr>
          <w:rFonts w:cs="Arial" w:ascii="Arial" w:hAnsi="Arial"/>
          <w:sz w:val="20"/>
        </w:rPr>
        <w:t xml:space="preserve"> Guest User acknowledges that it shall have only a limited, non-exclusive, non-transferable license to access and use the Website and Modules for the purposes set forth in this Agreement.  Access will be granted by CommodityLogic based upon the password indicated at the end of this Agreement (the “Password”) and the user identification authorizations issued by CommodityLogic to each of the Guest Representatives (collectively, the “ID’s”).  The individual signing this Agreement will be responsible for the Password and will issue the Password to a maximum of two (2) individuals per Module for access to and the testing and evaluation of the Website and Modules (collectively, the “Guest Representatives”).  The ID’s will be issued by CommodityLogic to each of the Guest Representatives to be used in connection with the Password.  These Guest Representatives will be identified where indicated at the bottom of this form.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5.  Guest Environment/Transaction Data.</w:t>
      </w:r>
      <w:r>
        <w:rPr>
          <w:rFonts w:cs="Arial" w:ascii="Arial" w:hAnsi="Arial"/>
          <w:sz w:val="20"/>
        </w:rPr>
        <w:t xml:space="preserve">  Access granted under this Agreement shall be limited to a “guest environment” established by CommodityLogic for the testing and evaluation of the Website and Modules.  Guest User acknowledges that any data presented within the guest environment and associated with Transactions which may be reflected within the Website is test data only and does not represent actual Transactions or information upon which Guest User should base any of its actions outside of the guest environment.  Unless otherwise agreed to by CommodityLogic, during the term of this Agreement, no information proprietary to Guest User will be displayed within either the guest environment, the Website or any of the Modules.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6.  Term/Termination</w:t>
      </w:r>
      <w:r>
        <w:rPr>
          <w:rFonts w:cs="Arial" w:ascii="Arial" w:hAnsi="Arial"/>
          <w:sz w:val="20"/>
        </w:rPr>
        <w:t>.  Guest User’s access to and use of the Website under this Agreement shall be valid and applicable for a period of fourteen (14) days from the date CommodityLogic issues to Guest User and activates the Password (the “Term”); provided, however, this Agreement shall be subject to termination by CommodityLogic at any time during the Term, with or without cause.  At the end of the Term or upon an earlier termination, Guest User’s access to the Website and Modules will be terminated and the Password will be deactivated.  Any continued use of the Website or any Module by Guest User subsequent to the expiration or earlier termination of the Term shall be subject to Guest User completing all agreements necessary for Guest User to become a subscriber to the production version of the Website, which agreements include, but are not necessarily limited to, a Subscription Agreement, a Password Application, Electronic Services Agreement and Module Annex documents.</w:t>
      </w:r>
    </w:p>
    <w:p>
      <w:pPr>
        <w:pStyle w:val="Normal"/>
        <w:jc w:val="both"/>
        <w:rPr>
          <w:rFonts w:ascii="Arial" w:hAnsi="Arial" w:cs="Arial"/>
          <w:b/>
          <w:bCs/>
          <w:sz w:val="20"/>
        </w:rPr>
      </w:pPr>
      <w:r>
        <w:rPr>
          <w:rFonts w:cs="Arial" w:ascii="Arial" w:hAnsi="Arial"/>
          <w:b/>
          <w:bCs/>
          <w:sz w:val="20"/>
        </w:rPr>
      </w:r>
    </w:p>
    <w:p>
      <w:pPr>
        <w:pStyle w:val="Normal"/>
        <w:jc w:val="both"/>
        <w:rPr/>
      </w:pPr>
      <w:r>
        <w:rPr>
          <w:rFonts w:cs="Arial" w:ascii="Arial" w:hAnsi="Arial"/>
          <w:b/>
          <w:sz w:val="20"/>
          <w:u w:val="single"/>
        </w:rPr>
        <w:t>7.  Representations of Guest User.</w:t>
      </w:r>
      <w:r>
        <w:rPr>
          <w:rFonts w:cs="Arial" w:ascii="Arial" w:hAnsi="Arial"/>
          <w:sz w:val="20"/>
        </w:rPr>
        <w:t xml:space="preserve">   Guest User hereby represents, warrants and covenants as follows:</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 xml:space="preserve">(a) Guest User will access and utilize the Website and Modules solely for the purpose of testing and evaluating the Website for application to Guest User’s business.  Guest User will not utilize the Website or Modules on behalf of any third parties or sell, lease, store, retransmit, redistribute or provide, directly or indirectly, any portion of the content of the Website to any third party.  Guest User acknowledges that the Website and Modules are the exclusive and proprietary property of CommodityLogic, and that Guest User shall have no rights with respect thereto, except as specifically set forth in this Agreement. </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(b) By "clicking" on the “I ACCEPT” area below this Agreement, Guest User itself is executing this Agreement on its own behalf.  Guest User has all necessary power and authority to execute and perform this Agreement and this Agreement is its legal, valid and binding agreement, enforceable against Guest User in accordance with its terms.  Neither the execution of nor performance under this Agreement by Guest User violates any law, rule, regulation or order, or any agreement, document or instrument, binding on or applicable to Guest User. Guest User agrees that this Agreement will be deemed to be "in writing" and to have been "signed" for all purposes. Guest User will not contest the legally binding nature, validity or enforceability of this Agreement based on the fact that it has been executed or acknowledged electronically by "clicking" on the designated spaces and expressly waives any and all rights it may have to assert any such claim.</w:t>
      </w:r>
    </w:p>
    <w:p>
      <w:pPr>
        <w:pStyle w:val="Normal"/>
        <w:jc w:val="both"/>
        <w:rPr>
          <w:rFonts w:ascii="Arial" w:hAnsi="Arial" w:cs="Arial"/>
          <w:b/>
          <w:bCs/>
          <w:sz w:val="20"/>
        </w:rPr>
      </w:pPr>
      <w:r>
        <w:rPr>
          <w:rFonts w:cs="Arial" w:ascii="Arial" w:hAnsi="Arial"/>
          <w:b/>
          <w:bCs/>
          <w:sz w:val="20"/>
        </w:rPr>
      </w:r>
    </w:p>
    <w:p>
      <w:pPr>
        <w:pStyle w:val="Normal"/>
        <w:jc w:val="both"/>
        <w:rPr/>
      </w:pPr>
      <w:r>
        <w:rPr>
          <w:rFonts w:cs="Arial" w:ascii="Arial" w:hAnsi="Arial"/>
          <w:b/>
          <w:bCs/>
          <w:sz w:val="20"/>
          <w:szCs w:val="20"/>
          <w:u w:val="single"/>
        </w:rPr>
        <w:t>8.  Warranties.</w:t>
      </w:r>
      <w:r>
        <w:rPr>
          <w:rFonts w:cs="Arial" w:ascii="Arial" w:hAnsi="Arial"/>
          <w:sz w:val="20"/>
          <w:szCs w:val="20"/>
        </w:rPr>
        <w:t xml:space="preserve">   THE WEBSITE, MODULES AND ANY SUPPORT FROM COMMODITYLOGIC ARE PROVIDED "AS IS" AND WITHOUT WARRANTY, EXPRESS OR IMPLIED, AND COMMODITYLOGIC SPECIFICALLY DISCLAIMS ANY IMPLIED WARRANTIES OF MERCHANTABILITY AND FITNESS FOR A PARTICULAR PURPOSE. IN NO EVENT WILL COMMODITYLOGIC BE LIABLE FOR ANY DAMAGES, INCLUDING BUT NOT LIMITED TO ANY LOST PROFITS, LOST SAVINGS OR ANY INCIDENTAL, SPECIAL OR CONSEQUENTIAL DAMAGES, WHETHER RESULTING FROM IMPAIRED OR LOST DATA, SOFTWARE OR COMPUTER FAILURE OR ANY OTHER CAUSE, EVEN IF COMMODITYLOGIC IS ADVISED OF THE POSSIBILITY OF SUCH DAMAGES, OR FOR ANY OTHER CLAIM BY USER OR FOR ANY THIRD PARTY CLAIM. </w:t>
      </w:r>
    </w:p>
    <w:p>
      <w:pPr>
        <w:pStyle w:val="Normal"/>
        <w:jc w:val="both"/>
        <w:rPr>
          <w:rFonts w:ascii="Arial" w:hAnsi="Arial" w:cs="Arial"/>
          <w:b/>
          <w:bCs/>
          <w:sz w:val="20"/>
          <w:szCs w:val="20"/>
          <w:u w:val="single"/>
        </w:rPr>
      </w:pPr>
      <w:r>
        <w:rPr>
          <w:rFonts w:cs="Arial" w:ascii="Arial" w:hAnsi="Arial"/>
          <w:b/>
          <w:bCs/>
          <w:sz w:val="20"/>
          <w:szCs w:val="20"/>
          <w:u w:val="single"/>
        </w:rPr>
      </w:r>
    </w:p>
    <w:p>
      <w:pPr>
        <w:pStyle w:val="Normal"/>
        <w:jc w:val="both"/>
        <w:rPr/>
      </w:pPr>
      <w:r>
        <w:rPr>
          <w:rFonts w:cs="Arial" w:ascii="Arial" w:hAnsi="Arial"/>
          <w:b/>
          <w:bCs/>
          <w:sz w:val="20"/>
          <w:u w:val="single"/>
        </w:rPr>
        <w:t>9.  Governing Law.</w:t>
      </w:r>
      <w:r>
        <w:rPr>
          <w:rFonts w:cs="Arial" w:ascii="Arial" w:hAnsi="Arial"/>
          <w:sz w:val="20"/>
        </w:rPr>
        <w:t xml:space="preserve">  This Agreement is to be governed by, construed and enforced according to the laws of the State of New York, without regard to its conflict of laws principles.</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10. No Assignment.</w:t>
      </w:r>
      <w:r>
        <w:rPr>
          <w:rFonts w:cs="Arial" w:ascii="Arial" w:hAnsi="Arial"/>
          <w:sz w:val="20"/>
        </w:rPr>
        <w:t xml:space="preserve">  User may not assign this Agreement without the prior written consent of CommodityLogic. This Agreement shall be binding upon and inured to the benefit of the parties and their respective administrators, successors and assigns. </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sz w:val="20"/>
          <w:u w:val="single"/>
        </w:rPr>
        <w:t>11.  Survival</w:t>
      </w:r>
      <w:r>
        <w:rPr>
          <w:rFonts w:cs="Arial" w:ascii="Arial" w:hAnsi="Arial"/>
          <w:sz w:val="20"/>
        </w:rPr>
        <w:t>.  The provisions of Sections 3, 7 and 8 shall survive the expiration or earlier termination of this Agreement.</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AGREED TO AND ACKNOWLEDGED BY:</w:t>
      </w:r>
    </w:p>
    <w:p>
      <w:pPr>
        <w:pStyle w:val="Normal"/>
        <w:jc w:val="both"/>
        <w:rPr>
          <w:rFonts w:ascii="Arial" w:hAnsi="Arial" w:cs="Arial"/>
          <w:sz w:val="20"/>
        </w:rPr>
      </w:pPr>
      <w:r>
        <w:rPr>
          <w:rFonts w:cs="Arial" w:ascii="Arial" w:hAnsi="Arial"/>
          <w:sz w:val="20"/>
        </w:rPr>
        <w:t>________________________________</w:t>
      </w:r>
    </w:p>
    <w:p>
      <w:pPr>
        <w:pStyle w:val="Normal"/>
        <w:jc w:val="both"/>
        <w:rPr>
          <w:rFonts w:ascii="Arial" w:hAnsi="Arial" w:cs="Arial"/>
          <w:sz w:val="20"/>
        </w:rPr>
      </w:pPr>
      <w:r>
        <w:rPr>
          <w:rFonts w:cs="Arial" w:ascii="Arial" w:hAnsi="Arial"/>
          <w:sz w:val="20"/>
        </w:rPr>
        <w:t>Title: ________________________________</w:t>
      </w:r>
    </w:p>
    <w:p>
      <w:pPr>
        <w:pStyle w:val="Normal"/>
        <w:jc w:val="both"/>
        <w:rPr>
          <w:rFonts w:ascii="Arial" w:hAnsi="Arial" w:cs="Arial"/>
          <w:sz w:val="20"/>
        </w:rPr>
      </w:pPr>
      <w:r>
        <w:rPr>
          <w:rFonts w:cs="Arial" w:ascii="Arial" w:hAnsi="Arial"/>
          <w:sz w:val="20"/>
        </w:rPr>
        <w:t>Phone:_______________________________</w:t>
      </w:r>
    </w:p>
    <w:p>
      <w:pPr>
        <w:pStyle w:val="Normal"/>
        <w:jc w:val="both"/>
        <w:rPr>
          <w:rFonts w:ascii="Arial" w:hAnsi="Arial" w:cs="Arial"/>
          <w:sz w:val="20"/>
        </w:rPr>
      </w:pPr>
      <w:r>
        <w:rPr>
          <w:rFonts w:cs="Arial" w:ascii="Arial" w:hAnsi="Arial"/>
          <w:sz w:val="20"/>
        </w:rPr>
        <w:t>Fax:_________________________________</w:t>
      </w:r>
    </w:p>
    <w:p>
      <w:pPr>
        <w:pStyle w:val="Normal"/>
        <w:jc w:val="both"/>
        <w:rPr>
          <w:rFonts w:ascii="Arial" w:hAnsi="Arial" w:cs="Arial"/>
          <w:sz w:val="20"/>
        </w:rPr>
      </w:pPr>
      <w:r>
        <w:rPr>
          <w:rFonts w:cs="Arial" w:ascii="Arial" w:hAnsi="Arial"/>
          <w:sz w:val="20"/>
        </w:rPr>
        <w:t>E-Mail:_______________________________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Please indicate a password (Must be 8 to 10 Characters)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lang w:val="en-CA" w:eastAsia="en-CA"/>
        </w:rPr>
      </w:pPr>
      <w:r>
        <w:rPr>
          <w:rFonts w:cs="Arial" w:ascii="Arial" w:hAnsi="Arial"/>
          <w:sz w:val="20"/>
          <w:lang w:val="en-CA" w:eastAsia="en-CA"/>
        </w:rPr>
        <mc:AlternateContent>
          <mc:Choice Requires="wps">
            <w:drawing>
              <wp:anchor behindDoc="0" distT="0" distB="0" distL="114935" distR="114935" simplePos="0" locked="0" layoutInCell="1" allowOverlap="1" relativeHeight="6">
                <wp:simplePos x="0" y="0"/>
                <wp:positionH relativeFrom="column">
                  <wp:posOffset>114300</wp:posOffset>
                </wp:positionH>
                <wp:positionV relativeFrom="paragraph">
                  <wp:posOffset>46990</wp:posOffset>
                </wp:positionV>
                <wp:extent cx="178435" cy="250190"/>
                <wp:effectExtent l="10160" t="9525" r="8890" b="9525"/>
                <wp:wrapNone/>
                <wp:docPr id="1"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9pt;margin-top:3.7pt;width:14pt;height:19.65pt;mso-wrap-style:none;v-text-anchor:middle">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1" allowOverlap="1" relativeHeight="7">
                <wp:simplePos x="0" y="0"/>
                <wp:positionH relativeFrom="column">
                  <wp:posOffset>342900</wp:posOffset>
                </wp:positionH>
                <wp:positionV relativeFrom="paragraph">
                  <wp:posOffset>46990</wp:posOffset>
                </wp:positionV>
                <wp:extent cx="178435" cy="250190"/>
                <wp:effectExtent l="10160" t="9525" r="8890" b="9525"/>
                <wp:wrapNone/>
                <wp:docPr id="2"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7pt;margin-top:3.7pt;width:14pt;height:19.65pt;mso-wrap-style:none;v-text-anchor:middle">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1" allowOverlap="1" relativeHeight="8">
                <wp:simplePos x="0" y="0"/>
                <wp:positionH relativeFrom="column">
                  <wp:posOffset>571500</wp:posOffset>
                </wp:positionH>
                <wp:positionV relativeFrom="paragraph">
                  <wp:posOffset>46990</wp:posOffset>
                </wp:positionV>
                <wp:extent cx="178435" cy="250190"/>
                <wp:effectExtent l="10160" t="9525" r="8890" b="9525"/>
                <wp:wrapNone/>
                <wp:docPr id="3"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5pt;margin-top:3.7pt;width:14pt;height:19.65pt;mso-wrap-style:none;v-text-anchor:middle">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1" allowOverlap="1" relativeHeight="9">
                <wp:simplePos x="0" y="0"/>
                <wp:positionH relativeFrom="column">
                  <wp:posOffset>800100</wp:posOffset>
                </wp:positionH>
                <wp:positionV relativeFrom="paragraph">
                  <wp:posOffset>46990</wp:posOffset>
                </wp:positionV>
                <wp:extent cx="178435" cy="250190"/>
                <wp:effectExtent l="10160" t="9525" r="8890" b="9525"/>
                <wp:wrapNone/>
                <wp:docPr id="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63pt;margin-top:3.7pt;width:14pt;height:19.65pt;mso-wrap-style:none;v-text-anchor:middle">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1" allowOverlap="1" relativeHeight="10">
                <wp:simplePos x="0" y="0"/>
                <wp:positionH relativeFrom="column">
                  <wp:posOffset>1028700</wp:posOffset>
                </wp:positionH>
                <wp:positionV relativeFrom="paragraph">
                  <wp:posOffset>46990</wp:posOffset>
                </wp:positionV>
                <wp:extent cx="178435" cy="250190"/>
                <wp:effectExtent l="10160" t="9525" r="8890" b="9525"/>
                <wp:wrapNone/>
                <wp:docPr id="5"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81pt;margin-top:3.7pt;width:14pt;height:19.65pt;mso-wrap-style:none;v-text-anchor:middle">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1" allowOverlap="1" relativeHeight="11">
                <wp:simplePos x="0" y="0"/>
                <wp:positionH relativeFrom="column">
                  <wp:posOffset>1257300</wp:posOffset>
                </wp:positionH>
                <wp:positionV relativeFrom="paragraph">
                  <wp:posOffset>46990</wp:posOffset>
                </wp:positionV>
                <wp:extent cx="178435" cy="250190"/>
                <wp:effectExtent l="10160" t="9525" r="8890" b="9525"/>
                <wp:wrapNone/>
                <wp:docPr id="6"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99pt;margin-top:3.7pt;width:14pt;height:19.65pt;mso-wrap-style:none;v-text-anchor:middle">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1" allowOverlap="1" relativeHeight="12">
                <wp:simplePos x="0" y="0"/>
                <wp:positionH relativeFrom="column">
                  <wp:posOffset>1485900</wp:posOffset>
                </wp:positionH>
                <wp:positionV relativeFrom="paragraph">
                  <wp:posOffset>46990</wp:posOffset>
                </wp:positionV>
                <wp:extent cx="178435" cy="250190"/>
                <wp:effectExtent l="10160" t="9525" r="8890" b="9525"/>
                <wp:wrapNone/>
                <wp:docPr id="7"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17pt;margin-top:3.7pt;width:14pt;height:19.65pt;mso-wrap-style:none;v-text-anchor:middle">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1" allowOverlap="1" relativeHeight="13">
                <wp:simplePos x="0" y="0"/>
                <wp:positionH relativeFrom="column">
                  <wp:posOffset>1714500</wp:posOffset>
                </wp:positionH>
                <wp:positionV relativeFrom="paragraph">
                  <wp:posOffset>46990</wp:posOffset>
                </wp:positionV>
                <wp:extent cx="178435" cy="250190"/>
                <wp:effectExtent l="10160" t="9525" r="8890" b="9525"/>
                <wp:wrapNone/>
                <wp:docPr id="8"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35pt;margin-top:3.7pt;width:14pt;height:19.65pt;mso-wrap-style:none;v-text-anchor:middle">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1" allowOverlap="1" relativeHeight="14">
                <wp:simplePos x="0" y="0"/>
                <wp:positionH relativeFrom="column">
                  <wp:posOffset>1943100</wp:posOffset>
                </wp:positionH>
                <wp:positionV relativeFrom="paragraph">
                  <wp:posOffset>46990</wp:posOffset>
                </wp:positionV>
                <wp:extent cx="178435" cy="250190"/>
                <wp:effectExtent l="10160" t="9525" r="8890" b="9525"/>
                <wp:wrapNone/>
                <wp:docPr id="9"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53pt;margin-top:3.7pt;width:14pt;height:19.65pt;mso-wrap-style:none;v-text-anchor:middle">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1" allowOverlap="1" relativeHeight="15">
                <wp:simplePos x="0" y="0"/>
                <wp:positionH relativeFrom="column">
                  <wp:posOffset>2171700</wp:posOffset>
                </wp:positionH>
                <wp:positionV relativeFrom="paragraph">
                  <wp:posOffset>46990</wp:posOffset>
                </wp:positionV>
                <wp:extent cx="178435" cy="250190"/>
                <wp:effectExtent l="10160" t="9525" r="8890" b="9525"/>
                <wp:wrapNone/>
                <wp:docPr id="10"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171pt;margin-top:3.7pt;width:14pt;height:19.65pt;mso-wrap-style:none;v-text-anchor:middle">
                <v:fill o:detectmouseclick="t" type="solid" color2="black"/>
                <v:stroke color="black" weight="19080" joinstyle="miter" endcap="flat"/>
                <w10:wrap type="none"/>
              </v:rect>
            </w:pict>
          </mc:Fallback>
        </mc:AlternateConten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r>
        <w:br w:type="page"/>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center"/>
        <w:rPr>
          <w:rFonts w:ascii="Arial" w:hAnsi="Arial" w:cs="Arial"/>
          <w:b/>
          <w:bCs/>
          <w:sz w:val="20"/>
          <w:u w:val="single"/>
        </w:rPr>
      </w:pPr>
      <w:r>
        <w:rPr>
          <w:rFonts w:cs="Arial" w:ascii="Arial" w:hAnsi="Arial"/>
          <w:b/>
          <w:bCs/>
          <w:sz w:val="20"/>
          <w:u w:val="single"/>
        </w:rPr>
        <w:t>Guest Representatives</w:t>
      </w:r>
    </w:p>
    <w:p>
      <w:pPr>
        <w:pStyle w:val="Normal"/>
        <w:jc w:val="both"/>
        <w:rPr>
          <w:rFonts w:ascii="Arial" w:hAnsi="Arial" w:cs="Arial"/>
          <w:b/>
          <w:bCs/>
          <w:sz w:val="20"/>
          <w:u w:val="single"/>
        </w:rPr>
      </w:pPr>
      <w:r>
        <w:rPr>
          <w:rFonts w:cs="Arial" w:ascii="Arial" w:hAnsi="Arial"/>
          <w:b/>
          <w:bCs/>
          <w:sz w:val="20"/>
          <w:u w:val="single"/>
        </w:rPr>
      </w:r>
    </w:p>
    <w:p>
      <w:pPr>
        <w:pStyle w:val="Normal"/>
        <w:jc w:val="both"/>
        <w:rPr>
          <w:rFonts w:ascii="Arial" w:hAnsi="Arial" w:cs="Arial"/>
          <w:sz w:val="20"/>
        </w:rPr>
      </w:pPr>
      <w:r>
        <w:rPr>
          <w:rFonts w:cs="Arial" w:ascii="Arial" w:hAnsi="Arial"/>
          <w:sz w:val="20"/>
        </w:rPr>
        <w:t>Please complete the following information for the Guest Representatives. Note that only the individuals listed below will be granted access to the guest environment.  Therefore, if the individual completing this Agreement wishes to gain access to specific modules, the individual must indicate his/her name within the appropriate section(s) below.  You may designate only two individuals per module.  The same password, as indicated above, will be used for all users.</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i/>
          <w:i/>
          <w:iCs/>
          <w:sz w:val="20"/>
          <w:u w:val="single"/>
        </w:rPr>
      </w:pPr>
      <w:r>
        <w:rPr>
          <w:rFonts w:cs="Arial" w:ascii="Arial" w:hAnsi="Arial"/>
          <w:b/>
          <w:bCs/>
          <w:i/>
          <w:iCs/>
          <w:sz w:val="20"/>
          <w:u w:val="single"/>
        </w:rPr>
        <w:t>CONFIRMLOGIC:</w:t>
      </w:r>
    </w:p>
    <w:p>
      <w:pPr>
        <w:pStyle w:val="Normal"/>
        <w:jc w:val="both"/>
        <w:rPr>
          <w:rFonts w:ascii="Arial" w:hAnsi="Arial" w:cs="Arial"/>
          <w:b/>
          <w:bCs/>
          <w:i/>
          <w:i/>
          <w:iCs/>
          <w:sz w:val="20"/>
          <w:u w:val="single"/>
        </w:rPr>
      </w:pPr>
      <w:r>
        <w:rPr>
          <w:rFonts w:cs="Arial" w:ascii="Arial" w:hAnsi="Arial"/>
          <w:b/>
          <w:bCs/>
          <w:i/>
          <w:iCs/>
          <w:sz w:val="20"/>
          <w:u w:val="single"/>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Name:_________________________</w:t>
        <w:tab/>
        <w:tab/>
        <w:t>Name:_________________________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Phone:_________________________</w:t>
        <w:tab/>
        <w:tab/>
        <w:t>Phone:_________________________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b/>
          <w:bCs/>
          <w:i/>
          <w:i/>
          <w:iCs/>
          <w:sz w:val="20"/>
          <w:u w:val="single"/>
        </w:rPr>
      </w:pPr>
      <w:r>
        <w:rPr>
          <w:rFonts w:cs="Arial" w:ascii="Arial" w:hAnsi="Arial"/>
          <w:b/>
          <w:bCs/>
          <w:i/>
          <w:iCs/>
          <w:sz w:val="20"/>
          <w:u w:val="single"/>
        </w:rPr>
        <w:t>NOMLOGIC:</w:t>
      </w:r>
    </w:p>
    <w:p>
      <w:pPr>
        <w:pStyle w:val="Normal"/>
        <w:jc w:val="both"/>
        <w:rPr>
          <w:rFonts w:ascii="Arial" w:hAnsi="Arial" w:cs="Arial"/>
          <w:b/>
          <w:bCs/>
          <w:i/>
          <w:i/>
          <w:iCs/>
          <w:sz w:val="20"/>
          <w:u w:val="single"/>
        </w:rPr>
      </w:pPr>
      <w:r>
        <w:rPr>
          <w:rFonts w:cs="Arial" w:ascii="Arial" w:hAnsi="Arial"/>
          <w:b/>
          <w:bCs/>
          <w:i/>
          <w:iCs/>
          <w:sz w:val="20"/>
          <w:u w:val="single"/>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Name:_________________________</w:t>
        <w:tab/>
        <w:tab/>
        <w:t>Name:_________________________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Phone:_________________________</w:t>
        <w:tab/>
        <w:tab/>
        <w:t>Phone:_________________________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i/>
          <w:iCs/>
          <w:sz w:val="20"/>
          <w:u w:val="single"/>
        </w:rPr>
        <w:t>INVOICELOGIC</w:t>
      </w:r>
      <w:r>
        <w:rPr>
          <w:rFonts w:cs="Arial" w:ascii="Arial" w:hAnsi="Arial"/>
          <w:b/>
          <w:bCs/>
          <w:i/>
          <w:iCs/>
          <w:sz w:val="20"/>
        </w:rPr>
        <w:t>:</w:t>
      </w:r>
    </w:p>
    <w:p>
      <w:pPr>
        <w:pStyle w:val="Normal"/>
        <w:jc w:val="both"/>
        <w:rPr>
          <w:rFonts w:ascii="Arial" w:hAnsi="Arial" w:cs="Arial"/>
          <w:b/>
          <w:bCs/>
          <w:i/>
          <w:i/>
          <w:iCs/>
          <w:sz w:val="20"/>
        </w:rPr>
      </w:pPr>
      <w:r>
        <w:rPr>
          <w:rFonts w:cs="Arial" w:ascii="Arial" w:hAnsi="Arial"/>
          <w:b/>
          <w:bCs/>
          <w:i/>
          <w:iCs/>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Name:_________________________</w:t>
        <w:tab/>
        <w:tab/>
        <w:t>Name:_________________________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Phone:_________________________</w:t>
        <w:tab/>
        <w:tab/>
        <w:t>Phone:_________________________</w:t>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i/>
          <w:iCs/>
          <w:sz w:val="20"/>
          <w:u w:val="single"/>
        </w:rPr>
        <w:t>BANKLOGIC</w:t>
      </w:r>
      <w:r>
        <w:rPr>
          <w:rFonts w:cs="Arial" w:ascii="Arial" w:hAnsi="Arial"/>
          <w:b/>
          <w:bCs/>
          <w:i/>
          <w:iCs/>
          <w:sz w:val="20"/>
        </w:rPr>
        <w:t>:</w:t>
      </w:r>
    </w:p>
    <w:p>
      <w:pPr>
        <w:pStyle w:val="Normal"/>
        <w:jc w:val="both"/>
        <w:rPr>
          <w:rFonts w:ascii="Arial" w:hAnsi="Arial" w:cs="Arial"/>
          <w:b/>
          <w:bCs/>
          <w:i/>
          <w:i/>
          <w:iCs/>
          <w:sz w:val="20"/>
        </w:rPr>
      </w:pPr>
      <w:r>
        <w:rPr>
          <w:rFonts w:cs="Arial" w:ascii="Arial" w:hAnsi="Arial"/>
          <w:b/>
          <w:bCs/>
          <w:i/>
          <w:iCs/>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Name:_________________________</w:t>
        <w:tab/>
        <w:tab/>
        <w:t>Name:_________________________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Phone:_________________________</w:t>
        <w:tab/>
        <w:tab/>
        <w:t>Phone:_________________________</w:t>
      </w:r>
      <w:r>
        <mc:AlternateContent>
          <mc:Choice Requires="wps">
            <w:drawing>
              <wp:anchor behindDoc="0" distT="0" distB="0" distL="114935" distR="114935" simplePos="0" locked="0" layoutInCell="1" allowOverlap="1" relativeHeight="16">
                <wp:simplePos x="0" y="0"/>
                <wp:positionH relativeFrom="column">
                  <wp:posOffset>5943600</wp:posOffset>
                </wp:positionH>
                <wp:positionV relativeFrom="paragraph">
                  <wp:posOffset>2507615</wp:posOffset>
                </wp:positionV>
                <wp:extent cx="831215" cy="237490"/>
                <wp:effectExtent l="0" t="0" r="0" b="0"/>
                <wp:wrapNone/>
                <wp:docPr id="11" name="Frame1"/>
                <a:graphic xmlns:a="http://schemas.openxmlformats.org/drawingml/2006/main">
                  <a:graphicData uri="http://schemas.microsoft.com/office/word/2010/wordprocessingShape">
                    <wps:wsp>
                      <wps:cNvSpPr txBox="1"/>
                      <wps:spPr>
                        <a:xfrm>
                          <a:off x="0" y="0"/>
                          <a:ext cx="831215" cy="237490"/>
                        </a:xfrm>
                        <a:prstGeom prst="rect"/>
                        <a:solidFill>
                          <a:srgbClr val="FFFFFF">
                            <a:alpha val="0"/>
                          </a:srgbClr>
                        </a:solidFill>
                      </wps:spPr>
                      <wps:txbx>
                        <w:txbxContent>
                          <w:p>
                            <w:pPr>
                              <w:pStyle w:val="Normal"/>
                              <w:rPr>
                                <w:sz w:val="14"/>
                              </w:rPr>
                            </w:pPr>
                            <w:r>
                              <w:rPr>
                                <w:sz w:val="14"/>
                              </w:rPr>
                              <w:t>Version 07-01</w:t>
                            </w:r>
                          </w:p>
                        </w:txbxContent>
                      </wps:txbx>
                      <wps:bodyPr anchor="t" lIns="92075" tIns="46355" rIns="92075" bIns="46355">
                        <a:noAutofit/>
                      </wps:bodyPr>
                    </wps:wsp>
                  </a:graphicData>
                </a:graphic>
              </wp:anchor>
            </w:drawing>
          </mc:Choice>
          <mc:Fallback>
            <w:pict>
              <v:rect fillcolor="#FFFFFF" style="position:absolute;rotation:-0;width:65.45pt;height:18.7pt;mso-wrap-distance-left:9.05pt;mso-wrap-distance-right:9.05pt;mso-wrap-distance-top:0pt;mso-wrap-distance-bottom:0pt;margin-top:197.45pt;mso-position-vertical-relative:text;margin-left:468pt;mso-position-horizontal-relative:text">
                <v:fill opacity="0f"/>
                <v:textbox inset="0.100694444444444in,0.0506944444444444in,0.100694444444444in,0.0506944444444444in">
                  <w:txbxContent>
                    <w:p>
                      <w:pPr>
                        <w:pStyle w:val="Normal"/>
                        <w:rPr>
                          <w:sz w:val="14"/>
                        </w:rPr>
                      </w:pPr>
                      <w:r>
                        <w:rPr>
                          <w:sz w:val="14"/>
                        </w:rPr>
                        <w:t>Version 07-01</w:t>
                      </w:r>
                    </w:p>
                  </w:txbxContent>
                </v:textbox>
                <w10:wrap type="none"/>
              </v:rect>
            </w:pict>
          </mc:Fallback>
        </mc:AlternateConten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pPr>
      <w:r>
        <w:rPr>
          <w:rFonts w:cs="Arial" w:ascii="Arial" w:hAnsi="Arial"/>
          <w:b/>
          <w:bCs/>
          <w:i/>
          <w:iCs/>
          <w:sz w:val="20"/>
          <w:u w:val="single"/>
        </w:rPr>
        <w:t>DOCSWAPLOGIC</w:t>
      </w:r>
      <w:r>
        <w:rPr>
          <w:rFonts w:cs="Arial" w:ascii="Arial" w:hAnsi="Arial"/>
          <w:b/>
          <w:bCs/>
          <w:i/>
          <w:iCs/>
          <w:sz w:val="20"/>
        </w:rPr>
        <w:t>:</w:t>
      </w:r>
    </w:p>
    <w:p>
      <w:pPr>
        <w:pStyle w:val="Normal"/>
        <w:jc w:val="both"/>
        <w:rPr>
          <w:rFonts w:ascii="Arial" w:hAnsi="Arial" w:cs="Arial"/>
          <w:b/>
          <w:bCs/>
          <w:i/>
          <w:i/>
          <w:iCs/>
          <w:sz w:val="20"/>
        </w:rPr>
      </w:pPr>
      <w:r>
        <w:rPr>
          <w:rFonts w:cs="Arial" w:ascii="Arial" w:hAnsi="Arial"/>
          <w:b/>
          <w:bCs/>
          <w:i/>
          <w:iCs/>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Name:_________________________</w:t>
        <w:tab/>
        <w:tab/>
        <w:t>Name:_________________________</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Phone:_________________________</w:t>
        <w:tab/>
        <w:tab/>
        <w:t>Phone:_________________________</w:t>
      </w:r>
      <w:r>
        <mc:AlternateContent>
          <mc:Choice Requires="wps">
            <w:drawing>
              <wp:anchor behindDoc="0" distT="0" distB="0" distL="114935" distR="114935" simplePos="0" locked="0" layoutInCell="1" allowOverlap="1" relativeHeight="17">
                <wp:simplePos x="0" y="0"/>
                <wp:positionH relativeFrom="column">
                  <wp:posOffset>5943600</wp:posOffset>
                </wp:positionH>
                <wp:positionV relativeFrom="paragraph">
                  <wp:posOffset>2507615</wp:posOffset>
                </wp:positionV>
                <wp:extent cx="831215" cy="237490"/>
                <wp:effectExtent l="0" t="0" r="0" b="0"/>
                <wp:wrapNone/>
                <wp:docPr id="12" name="Frame2"/>
                <a:graphic xmlns:a="http://schemas.openxmlformats.org/drawingml/2006/main">
                  <a:graphicData uri="http://schemas.microsoft.com/office/word/2010/wordprocessingShape">
                    <wps:wsp>
                      <wps:cNvSpPr txBox="1"/>
                      <wps:spPr>
                        <a:xfrm>
                          <a:off x="0" y="0"/>
                          <a:ext cx="831215" cy="237490"/>
                        </a:xfrm>
                        <a:prstGeom prst="rect"/>
                        <a:solidFill>
                          <a:srgbClr val="FFFFFF">
                            <a:alpha val="0"/>
                          </a:srgbClr>
                        </a:solidFill>
                      </wps:spPr>
                      <wps:txbx>
                        <w:txbxContent>
                          <w:p>
                            <w:pPr>
                              <w:pStyle w:val="Normal"/>
                              <w:rPr>
                                <w:sz w:val="14"/>
                              </w:rPr>
                            </w:pPr>
                            <w:r>
                              <w:rPr>
                                <w:sz w:val="14"/>
                              </w:rPr>
                              <w:t>Version 07-01</w:t>
                            </w:r>
                          </w:p>
                        </w:txbxContent>
                      </wps:txbx>
                      <wps:bodyPr anchor="t" lIns="92075" tIns="46355" rIns="92075" bIns="46355">
                        <a:noAutofit/>
                      </wps:bodyPr>
                    </wps:wsp>
                  </a:graphicData>
                </a:graphic>
              </wp:anchor>
            </w:drawing>
          </mc:Choice>
          <mc:Fallback>
            <w:pict>
              <v:rect fillcolor="#FFFFFF" style="position:absolute;rotation:-0;width:65.45pt;height:18.7pt;mso-wrap-distance-left:9.05pt;mso-wrap-distance-right:9.05pt;mso-wrap-distance-top:0pt;mso-wrap-distance-bottom:0pt;margin-top:197.45pt;mso-position-vertical-relative:text;margin-left:468pt;mso-position-horizontal-relative:text">
                <v:fill opacity="0f"/>
                <v:textbox inset="0.100694444444444in,0.0506944444444444in,0.100694444444444in,0.0506944444444444in">
                  <w:txbxContent>
                    <w:p>
                      <w:pPr>
                        <w:pStyle w:val="Normal"/>
                        <w:rPr>
                          <w:sz w:val="14"/>
                        </w:rPr>
                      </w:pPr>
                      <w:r>
                        <w:rPr>
                          <w:sz w:val="14"/>
                        </w:rPr>
                        <w:t>Version 07-01</w:t>
                      </w:r>
                    </w:p>
                  </w:txbxContent>
                </v:textbox>
                <w10:wrap type="none"/>
              </v:rect>
            </w:pict>
          </mc:Fallback>
        </mc:AlternateContent>
      </w:r>
    </w:p>
    <w:sectPr>
      <w:headerReference w:type="default" r:id="rId2"/>
      <w:type w:val="nextPage"/>
      <w:pgSz w:w="12240" w:h="15840"/>
      <w:pgMar w:left="1152" w:right="1152" w:gutter="0" w:header="720" w:top="1296"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148840" cy="712470"/>
          <wp:effectExtent l="0" t="0" r="0" b="0"/>
          <wp:docPr id="1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00" w:after="10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2001-06-27T11:07:00Z</dcterms:created>
  <dc:creator>mgreenbe</dc:creator>
  <dc:description/>
  <dc:language>en-CA</dc:language>
  <cp:lastModifiedBy>astreight</cp:lastModifiedBy>
  <cp:lastPrinted>2001-06-19T09:26:00Z</cp:lastPrinted>
  <dcterms:modified xsi:type="dcterms:W3CDTF">2001-07-12T18:36:00Z</dcterms:modified>
  <cp:revision>9</cp:revision>
  <dc:subject/>
  <dc:title>SAMPLE BETA TEST AGREEMENT</dc:title>
</cp:coreProperties>
</file>