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25290" w:type="dxa"/>
        <w:jc w:val="start"/>
        <w:tblInd w:w="127" w:type="dxa"/>
        <w:tblLayout w:type="fixed"/>
        <w:tblCellMar>
          <w:top w:w="0" w:type="dxa"/>
          <w:start w:w="127" w:type="dxa"/>
          <w:bottom w:w="0" w:type="dxa"/>
          <w:end w:w="127" w:type="dxa"/>
        </w:tblCellMar>
      </w:tblPr>
      <w:tblGrid>
        <w:gridCol w:w="4050"/>
        <w:gridCol w:w="5040"/>
        <w:gridCol w:w="5040"/>
        <w:gridCol w:w="6120"/>
        <w:gridCol w:w="5040"/>
      </w:tblGrid>
      <w:tr>
        <w:trPr/>
        <w:tc>
          <w:tcPr>
            <w:tcW w:w="14130" w:type="dxa"/>
            <w:gridSpan w:val="3"/>
            <w:tcBorders>
              <w:top w:val="single" w:sz="6" w:space="0" w:color="000000"/>
              <w:start w:val="single" w:sz="6" w:space="0" w:color="000000"/>
              <w:end w:val="single" w:sz="6" w:space="0" w:color="FFFFFF"/>
            </w:tcBorders>
          </w:tcPr>
          <w:p>
            <w:pPr>
              <w:pStyle w:val="Normal"/>
              <w:snapToGrid w:val="false"/>
              <w:spacing w:lineRule="exact" w:line="163"/>
              <w:rPr/>
            </w:pPr>
            <w:r>
              <w:rPr/>
            </w:r>
          </w:p>
          <w:p>
            <w:pPr>
              <w:pStyle w:val="Normal"/>
              <w:tabs>
                <w:tab w:val="clear" w:pos="720"/>
                <w:tab w:val="left" w:pos="514" w:leader="none"/>
              </w:tabs>
              <w:ind w:start="-127" w:end="-127"/>
              <w:jc w:val="center"/>
              <w:rPr>
                <w:b/>
                <w:sz w:val="28"/>
              </w:rPr>
            </w:pPr>
            <w:bookmarkStart w:id="0" w:name="QuickMark"/>
            <w:bookmarkEnd w:id="0"/>
            <w:r>
              <w:rPr>
                <w:b/>
                <w:sz w:val="28"/>
              </w:rPr>
              <w:t>ELECTRIC DISTRIBUTION</w:t>
            </w:r>
          </w:p>
          <w:p>
            <w:pPr>
              <w:pStyle w:val="Heading4"/>
              <w:rPr/>
            </w:pPr>
            <w:r>
              <w:rPr/>
              <w:t>PRIVATIZATION –EEGSA</w:t>
            </w:r>
          </w:p>
          <w:p>
            <w:pPr>
              <w:pStyle w:val="Heading2"/>
              <w:ind w:start="-127" w:end="-127"/>
              <w:rPr/>
            </w:pPr>
            <w:r>
              <w:rPr/>
              <w:t>Risk Matrix</w:t>
            </w:r>
          </w:p>
          <w:p>
            <w:pPr>
              <w:pStyle w:val="Normal"/>
              <w:tabs>
                <w:tab w:val="clear" w:pos="720"/>
                <w:tab w:val="left" w:pos="514" w:leader="none"/>
              </w:tabs>
              <w:spacing w:before="0" w:after="163"/>
              <w:ind w:start="-127" w:end="-127"/>
              <w:jc w:val="center"/>
              <w:rPr>
                <w:b/>
                <w:sz w:val="28"/>
              </w:rPr>
            </w:pPr>
            <w:r>
              <w:rPr>
                <w:b/>
                <w:sz w:val="28"/>
              </w:rPr>
              <w:t>Draft 7/18/98</w:t>
            </w:r>
          </w:p>
          <w:p>
            <w:pPr>
              <w:pStyle w:val="Heading5"/>
              <w:ind w:hanging="0" w:start="0"/>
              <w:rPr/>
            </w:pPr>
            <w:r>
              <w:rPr/>
              <w:t>Defined Terms</w:t>
            </w:r>
          </w:p>
          <w:p>
            <w:pPr>
              <w:pStyle w:val="Normal"/>
              <w:tabs>
                <w:tab w:val="clear" w:pos="720"/>
                <w:tab w:val="left" w:pos="3563" w:leader="none"/>
              </w:tabs>
              <w:spacing w:before="0" w:after="163"/>
              <w:rPr/>
            </w:pPr>
            <w:r>
              <w:rPr>
                <w:sz w:val="20"/>
              </w:rPr>
              <w:t xml:space="preserve">EEGSA         Empresa Eléctrica de , S.A. </w:t>
            </w:r>
          </w:p>
          <w:p>
            <w:pPr>
              <w:pStyle w:val="Normal"/>
              <w:tabs>
                <w:tab w:val="clear" w:pos="720"/>
                <w:tab w:val="left" w:pos="514" w:leader="none"/>
              </w:tabs>
              <w:spacing w:before="0" w:after="163"/>
              <w:rPr>
                <w:sz w:val="20"/>
              </w:rPr>
            </w:pPr>
            <w:r>
              <w:rPr>
                <w:sz w:val="20"/>
              </w:rPr>
            </w:r>
          </w:p>
          <w:p>
            <w:pPr>
              <w:pStyle w:val="Heading5"/>
              <w:ind w:hanging="0" w:start="0"/>
              <w:rPr/>
            </w:pPr>
            <w:r>
              <w:rPr/>
              <w:t>Responsible Team Members</w:t>
            </w:r>
          </w:p>
          <w:p>
            <w:pPr>
              <w:pStyle w:val="Normal"/>
              <w:tabs>
                <w:tab w:val="clear" w:pos="720"/>
                <w:tab w:val="left" w:pos="514" w:leader="none"/>
              </w:tabs>
              <w:rPr>
                <w:sz w:val="20"/>
              </w:rPr>
            </w:pPr>
            <w:r>
              <w:rPr>
                <w:sz w:val="20"/>
              </w:rPr>
            </w:r>
          </w:p>
          <w:p>
            <w:pPr>
              <w:pStyle w:val="Normal"/>
              <w:tabs>
                <w:tab w:val="clear" w:pos="720"/>
                <w:tab w:val="left" w:pos="514" w:leader="none"/>
              </w:tabs>
              <w:rPr>
                <w:sz w:val="20"/>
              </w:rPr>
            </w:pPr>
            <w:r>
              <w:rPr>
                <w:sz w:val="20"/>
              </w:rPr>
            </w:r>
          </w:p>
          <w:p>
            <w:pPr>
              <w:pStyle w:val="Normal"/>
              <w:tabs>
                <w:tab w:val="clear" w:pos="720"/>
                <w:tab w:val="left" w:pos="514" w:leader="none"/>
              </w:tabs>
              <w:rPr>
                <w:sz w:val="20"/>
              </w:rPr>
            </w:pPr>
            <w:r>
              <w:rPr>
                <w:sz w:val="20"/>
              </w:rPr>
            </w:r>
          </w:p>
          <w:p>
            <w:pPr>
              <w:pStyle w:val="Normal"/>
              <w:tabs>
                <w:tab w:val="clear" w:pos="720"/>
                <w:tab w:val="left" w:pos="514" w:leader="none"/>
              </w:tabs>
              <w:rPr>
                <w:sz w:val="20"/>
              </w:rPr>
            </w:pPr>
            <w:r>
              <w:rPr>
                <w:sz w:val="20"/>
              </w:rPr>
            </w:r>
          </w:p>
          <w:p>
            <w:pPr>
              <w:pStyle w:val="Normal"/>
              <w:tabs>
                <w:tab w:val="clear" w:pos="720"/>
                <w:tab w:val="left" w:pos="514" w:leader="none"/>
              </w:tabs>
              <w:rPr>
                <w:sz w:val="20"/>
              </w:rPr>
            </w:pPr>
            <w:r>
              <w:rPr>
                <w:sz w:val="20"/>
              </w:rPr>
            </w:r>
          </w:p>
          <w:p>
            <w:pPr>
              <w:pStyle w:val="Normal"/>
              <w:tabs>
                <w:tab w:val="clear" w:pos="720"/>
                <w:tab w:val="left" w:pos="514" w:leader="none"/>
              </w:tabs>
              <w:spacing w:before="0" w:after="163"/>
              <w:jc w:val="center"/>
              <w:rPr>
                <w:sz w:val="20"/>
              </w:rPr>
            </w:pPr>
            <w:r>
              <w:rPr>
                <w:sz w:val="20"/>
              </w:rPr>
            </w:r>
          </w:p>
          <w:p>
            <w:pPr>
              <w:pStyle w:val="Normal"/>
              <w:tabs>
                <w:tab w:val="clear" w:pos="720"/>
                <w:tab w:val="left" w:pos="514" w:leader="none"/>
              </w:tabs>
              <w:spacing w:before="0" w:after="163"/>
              <w:jc w:val="center"/>
              <w:rPr>
                <w:sz w:val="20"/>
              </w:rPr>
            </w:pPr>
            <w:r>
              <w:rPr>
                <w:sz w:val="20"/>
              </w:rPr>
            </w:r>
          </w:p>
          <w:p>
            <w:pPr>
              <w:pStyle w:val="Normal"/>
              <w:tabs>
                <w:tab w:val="clear" w:pos="720"/>
                <w:tab w:val="left" w:pos="514" w:leader="none"/>
              </w:tabs>
              <w:spacing w:before="0" w:after="163"/>
              <w:jc w:val="center"/>
              <w:rPr>
                <w:sz w:val="20"/>
              </w:rPr>
            </w:pPr>
            <w:r>
              <w:rPr>
                <w:sz w:val="20"/>
              </w:rPr>
            </w:r>
          </w:p>
          <w:p>
            <w:pPr>
              <w:pStyle w:val="Normal"/>
              <w:tabs>
                <w:tab w:val="clear" w:pos="720"/>
                <w:tab w:val="left" w:pos="514" w:leader="none"/>
              </w:tabs>
              <w:spacing w:before="0" w:after="163"/>
              <w:jc w:val="center"/>
              <w:rPr>
                <w:sz w:val="20"/>
              </w:rPr>
            </w:pPr>
            <w:r>
              <w:rPr>
                <w:sz w:val="20"/>
              </w:rPr>
            </w:r>
          </w:p>
        </w:tc>
        <w:tc>
          <w:tcPr>
            <w:tcW w:w="6120" w:type="dxa"/>
            <w:tcBorders>
              <w:top w:val="single" w:sz="6" w:space="0" w:color="000000"/>
              <w:start w:val="single" w:sz="6" w:space="0" w:color="FFFFFF"/>
              <w:bottom w:val="single" w:sz="6" w:space="0" w:color="FFFFFF"/>
              <w:end w:val="single" w:sz="6" w:space="0" w:color="FFFFFF"/>
            </w:tcBorders>
          </w:tcPr>
          <w:p>
            <w:pPr>
              <w:pStyle w:val="Normal"/>
              <w:snapToGrid w:val="false"/>
              <w:spacing w:lineRule="exact" w:line="163"/>
              <w:ind w:start="-127" w:end="-127"/>
              <w:jc w:val="center"/>
              <w:rPr>
                <w:sz w:val="20"/>
              </w:rPr>
            </w:pPr>
            <w:r>
              <w:rPr>
                <w:sz w:val="20"/>
              </w:rPr>
            </w:r>
          </w:p>
          <w:p>
            <w:pPr>
              <w:pStyle w:val="Normal"/>
              <w:tabs>
                <w:tab w:val="clear" w:pos="720"/>
                <w:tab w:val="left" w:pos="514" w:leader="none"/>
              </w:tabs>
              <w:spacing w:before="0" w:after="163"/>
              <w:ind w:start="-127" w:end="-127"/>
              <w:jc w:val="center"/>
              <w:rPr>
                <w:b/>
                <w:sz w:val="28"/>
              </w:rPr>
            </w:pPr>
            <w:r>
              <w:rPr>
                <w:b/>
                <w:sz w:val="28"/>
              </w:rPr>
            </w:r>
          </w:p>
          <w:p>
            <w:pPr>
              <w:pStyle w:val="Normal"/>
              <w:tabs>
                <w:tab w:val="clear" w:pos="720"/>
                <w:tab w:val="left" w:pos="514" w:leader="none"/>
              </w:tabs>
              <w:spacing w:before="0" w:after="163"/>
              <w:ind w:start="-127" w:end="-127"/>
              <w:jc w:val="center"/>
              <w:rPr>
                <w:b/>
                <w:sz w:val="28"/>
              </w:rPr>
            </w:pPr>
            <w:r>
              <w:rPr>
                <w:b/>
                <w:sz w:val="28"/>
              </w:rPr>
            </w:r>
          </w:p>
          <w:p>
            <w:pPr>
              <w:pStyle w:val="Normal"/>
              <w:tabs>
                <w:tab w:val="clear" w:pos="720"/>
                <w:tab w:val="left" w:pos="514" w:leader="none"/>
              </w:tabs>
              <w:spacing w:before="0" w:after="163"/>
              <w:ind w:start="-3367" w:end="-127"/>
              <w:rPr>
                <w:b/>
                <w:sz w:val="20"/>
              </w:rPr>
            </w:pPr>
            <w:r>
              <w:rPr>
                <w:b/>
                <w:sz w:val="20"/>
              </w:rPr>
            </w:r>
          </w:p>
        </w:tc>
        <w:tc>
          <w:tcPr>
            <w:tcW w:w="5040" w:type="dxa"/>
            <w:tcBorders>
              <w:top w:val="single" w:sz="6" w:space="0" w:color="000000"/>
              <w:start w:val="single" w:sz="6" w:space="0" w:color="FFFFFF"/>
              <w:bottom w:val="single" w:sz="6" w:space="0" w:color="FFFFFF"/>
              <w:end w:val="single" w:sz="6" w:space="0" w:color="000000"/>
            </w:tcBorders>
          </w:tcPr>
          <w:p>
            <w:pPr>
              <w:pStyle w:val="Normal"/>
              <w:snapToGrid w:val="false"/>
              <w:spacing w:lineRule="exact" w:line="163"/>
              <w:rPr>
                <w:b/>
                <w:sz w:val="20"/>
              </w:rPr>
            </w:pPr>
            <w:r>
              <w:rPr>
                <w:b/>
                <w:sz w:val="20"/>
              </w:rPr>
            </w:r>
          </w:p>
          <w:p>
            <w:pPr>
              <w:pStyle w:val="Normal"/>
              <w:tabs>
                <w:tab w:val="clear" w:pos="720"/>
                <w:tab w:val="left" w:pos="514" w:leader="none"/>
              </w:tabs>
              <w:spacing w:before="0" w:after="163"/>
              <w:jc w:val="center"/>
              <w:rPr>
                <w:b/>
                <w:sz w:val="20"/>
              </w:rPr>
            </w:pPr>
            <w:r>
              <w:rPr>
                <w:b/>
                <w:sz w:val="20"/>
              </w:rPr>
            </w:r>
          </w:p>
        </w:tc>
      </w:tr>
      <w:tr>
        <w:trPr/>
        <w:tc>
          <w:tcPr>
            <w:tcW w:w="4050" w:type="dxa"/>
            <w:tcBorders>
              <w:top w:val="single" w:sz="2" w:space="0" w:color="000000"/>
              <w:start w:val="single" w:sz="2" w:space="0" w:color="000000"/>
              <w:bottom w:val="single" w:sz="2" w:space="0" w:color="000000"/>
              <w:end w:val="single" w:sz="2" w:space="0" w:color="000000"/>
            </w:tcBorders>
          </w:tcPr>
          <w:p>
            <w:pPr>
              <w:pStyle w:val="Heading3"/>
              <w:spacing w:lineRule="auto" w:line="240"/>
              <w:ind w:hanging="0" w:start="0"/>
              <w:rPr/>
            </w:pPr>
            <w:r>
              <w:rPr/>
              <w:t xml:space="preserve">Part 1: Country Risk (RF) </w:t>
            </w:r>
          </w:p>
          <w:p>
            <w:pPr>
              <w:pStyle w:val="Normal"/>
              <w:tabs>
                <w:tab w:val="clear" w:pos="720"/>
                <w:tab w:val="left" w:pos="514" w:leader="none"/>
              </w:tabs>
              <w:rPr>
                <w:sz w:val="20"/>
              </w:rPr>
            </w:pPr>
            <w:r>
              <w:rPr>
                <w:sz w:val="20"/>
              </w:rPr>
              <w:t>Macro Economic Forecast (RF)</w:t>
            </w:r>
          </w:p>
        </w:tc>
        <w:tc>
          <w:tcPr>
            <w:tcW w:w="5040" w:type="dxa"/>
            <w:tcBorders>
              <w:top w:val="single" w:sz="2" w:space="0" w:color="000000"/>
              <w:start w:val="single" w:sz="2" w:space="0" w:color="000000"/>
              <w:bottom w:val="single" w:sz="2" w:space="0" w:color="000000"/>
              <w:end w:val="single" w:sz="2" w:space="0" w:color="000000"/>
            </w:tcBorders>
          </w:tcPr>
          <w:p>
            <w:pPr>
              <w:pStyle w:val="Normal"/>
              <w:snapToGrid w:val="false"/>
              <w:rPr>
                <w:sz w:val="20"/>
              </w:rPr>
            </w:pPr>
            <w:r>
              <w:rPr>
                <w:sz w:val="20"/>
              </w:rPr>
            </w:r>
          </w:p>
        </w:tc>
        <w:tc>
          <w:tcPr>
            <w:tcW w:w="5040" w:type="dxa"/>
            <w:tcBorders>
              <w:top w:val="single" w:sz="2" w:space="0" w:color="000000"/>
              <w:start w:val="single" w:sz="2" w:space="0" w:color="000000"/>
              <w:bottom w:val="single" w:sz="2" w:space="0" w:color="000000"/>
              <w:end w:val="single" w:sz="2" w:space="0" w:color="000000"/>
            </w:tcBorders>
          </w:tcPr>
          <w:p>
            <w:pPr>
              <w:pStyle w:val="Normal"/>
              <w:snapToGrid w:val="false"/>
              <w:rPr>
                <w:sz w:val="20"/>
              </w:rPr>
            </w:pPr>
            <w:r>
              <w:rPr>
                <w:sz w:val="20"/>
              </w:rPr>
            </w:r>
          </w:p>
        </w:tc>
        <w:tc>
          <w:tcPr>
            <w:tcW w:w="11160" w:type="dxa"/>
            <w:gridSpan w:val="2"/>
            <w:tcBorders/>
            <w:tcMar>
              <w:start w:w="0" w:type="dxa"/>
              <w:end w:w="0" w:type="dxa"/>
            </w:tcMar>
          </w:tcPr>
          <w:p>
            <w:pPr>
              <w:pStyle w:val="Normal"/>
              <w:snapToGrid w:val="false"/>
              <w:rPr>
                <w:sz w:val="20"/>
              </w:rPr>
            </w:pPr>
            <w:r>
              <w:rPr>
                <w:sz w:val="20"/>
              </w:rPr>
            </w:r>
          </w:p>
        </w:tc>
      </w:tr>
      <w:tr>
        <w:trPr/>
        <w:tc>
          <w:tcPr>
            <w:tcW w:w="4050" w:type="dxa"/>
            <w:tcBorders>
              <w:start w:val="single" w:sz="6" w:space="0" w:color="000000"/>
              <w:bottom w:val="single" w:sz="6" w:space="0" w:color="FFFFFF"/>
              <w:end w:val="single" w:sz="6" w:space="0" w:color="000000"/>
            </w:tcBorders>
          </w:tcPr>
          <w:p>
            <w:pPr>
              <w:pStyle w:val="Normal"/>
              <w:tabs>
                <w:tab w:val="clear" w:pos="720"/>
                <w:tab w:val="left" w:pos="514" w:leader="none"/>
              </w:tabs>
              <w:rPr>
                <w:sz w:val="20"/>
              </w:rPr>
            </w:pPr>
            <w:r>
              <w:rPr>
                <w:sz w:val="20"/>
              </w:rPr>
              <w:t>Foreign Exchange Risk (RF/JA)</w:t>
            </w:r>
          </w:p>
        </w:tc>
        <w:tc>
          <w:tcPr>
            <w:tcW w:w="5040" w:type="dxa"/>
            <w:tcBorders>
              <w:start w:val="single" w:sz="6" w:space="0" w:color="FFFFFF"/>
              <w:bottom w:val="single" w:sz="6" w:space="0" w:color="FFFFFF"/>
              <w:end w:val="single" w:sz="6" w:space="0" w:color="000000"/>
            </w:tcBorders>
          </w:tcPr>
          <w:p>
            <w:pPr>
              <w:pStyle w:val="Normal"/>
              <w:tabs>
                <w:tab w:val="clear" w:pos="720"/>
                <w:tab w:val="left" w:pos="514" w:leader="none"/>
              </w:tabs>
              <w:snapToGrid w:val="false"/>
              <w:rPr>
                <w:sz w:val="20"/>
              </w:rPr>
            </w:pPr>
            <w:r>
              <w:rPr>
                <w:sz w:val="20"/>
              </w:rPr>
            </w:r>
          </w:p>
        </w:tc>
        <w:tc>
          <w:tcPr>
            <w:tcW w:w="5040" w:type="dxa"/>
            <w:tcBorders>
              <w:start w:val="single" w:sz="6" w:space="0" w:color="FFFFFF"/>
              <w:bottom w:val="single" w:sz="6" w:space="0" w:color="FFFFFF"/>
              <w:end w:val="single" w:sz="6" w:space="0" w:color="000000"/>
            </w:tcBorders>
          </w:tcPr>
          <w:p>
            <w:pPr>
              <w:pStyle w:val="Normal"/>
              <w:tabs>
                <w:tab w:val="clear" w:pos="720"/>
                <w:tab w:val="left" w:pos="514" w:leader="none"/>
              </w:tabs>
              <w:snapToGrid w:val="false"/>
              <w:rPr>
                <w:sz w:val="20"/>
              </w:rPr>
            </w:pPr>
            <w:r>
              <w:rPr>
                <w:sz w:val="20"/>
              </w:rPr>
            </w:r>
          </w:p>
        </w:tc>
        <w:tc>
          <w:tcPr>
            <w:tcW w:w="11160" w:type="dxa"/>
            <w:gridSpan w:val="2"/>
            <w:tcBorders/>
            <w:tcMar>
              <w:start w:w="0" w:type="dxa"/>
              <w:end w:w="0" w:type="dxa"/>
            </w:tcMar>
          </w:tcPr>
          <w:p>
            <w:pPr>
              <w:pStyle w:val="Normal"/>
              <w:snapToGrid w:val="false"/>
              <w:rPr>
                <w:sz w:val="20"/>
              </w:rPr>
            </w:pPr>
            <w:r>
              <w:rPr>
                <w:sz w:val="20"/>
              </w:rPr>
            </w:r>
          </w:p>
        </w:tc>
      </w:tr>
      <w:tr>
        <w:trPr/>
        <w:tc>
          <w:tcPr>
            <w:tcW w:w="4050" w:type="dxa"/>
            <w:tcBorders>
              <w:top w:val="single" w:sz="6" w:space="0" w:color="000000"/>
              <w:start w:val="single" w:sz="6" w:space="0" w:color="000000"/>
              <w:bottom w:val="single" w:sz="6" w:space="0" w:color="FFFFFF"/>
              <w:end w:val="single" w:sz="6" w:space="0" w:color="000000"/>
            </w:tcBorders>
          </w:tcPr>
          <w:p>
            <w:pPr>
              <w:pStyle w:val="Normal"/>
              <w:tabs>
                <w:tab w:val="clear" w:pos="720"/>
                <w:tab w:val="left" w:pos="514" w:leader="none"/>
              </w:tabs>
              <w:rPr>
                <w:sz w:val="20"/>
              </w:rPr>
            </w:pPr>
            <w:r>
              <w:rPr>
                <w:sz w:val="20"/>
              </w:rPr>
              <w:t>Inflation  (RF)</w:t>
            </w:r>
          </w:p>
        </w:tc>
        <w:tc>
          <w:tcPr>
            <w:tcW w:w="5040" w:type="dxa"/>
            <w:tcBorders>
              <w:top w:val="single" w:sz="6" w:space="0" w:color="000000"/>
              <w:start w:val="single" w:sz="6" w:space="0" w:color="FFFFFF"/>
              <w:bottom w:val="single" w:sz="6" w:space="0" w:color="FFFFFF"/>
              <w:end w:val="single" w:sz="6" w:space="0" w:color="000000"/>
            </w:tcBorders>
          </w:tcPr>
          <w:p>
            <w:pPr>
              <w:pStyle w:val="Normal"/>
              <w:tabs>
                <w:tab w:val="clear" w:pos="720"/>
                <w:tab w:val="left" w:pos="514" w:leader="none"/>
              </w:tabs>
              <w:snapToGrid w:val="false"/>
              <w:rPr>
                <w:sz w:val="20"/>
              </w:rPr>
            </w:pPr>
            <w:r>
              <w:rPr>
                <w:sz w:val="20"/>
              </w:rPr>
            </w:r>
          </w:p>
        </w:tc>
        <w:tc>
          <w:tcPr>
            <w:tcW w:w="5040" w:type="dxa"/>
            <w:tcBorders>
              <w:top w:val="single" w:sz="6" w:space="0" w:color="000000"/>
              <w:start w:val="single" w:sz="6" w:space="0" w:color="FFFFFF"/>
              <w:bottom w:val="single" w:sz="6" w:space="0" w:color="FFFFFF"/>
              <w:end w:val="single" w:sz="6" w:space="0" w:color="000000"/>
            </w:tcBorders>
          </w:tcPr>
          <w:p>
            <w:pPr>
              <w:pStyle w:val="Normal"/>
              <w:tabs>
                <w:tab w:val="clear" w:pos="720"/>
                <w:tab w:val="left" w:pos="514" w:leader="none"/>
              </w:tabs>
              <w:snapToGrid w:val="false"/>
              <w:rPr>
                <w:sz w:val="20"/>
              </w:rPr>
            </w:pPr>
            <w:r>
              <w:rPr>
                <w:sz w:val="20"/>
              </w:rPr>
            </w:r>
          </w:p>
        </w:tc>
        <w:tc>
          <w:tcPr>
            <w:tcW w:w="11160" w:type="dxa"/>
            <w:gridSpan w:val="2"/>
            <w:tcBorders/>
            <w:tcMar>
              <w:start w:w="0" w:type="dxa"/>
              <w:end w:w="0" w:type="dxa"/>
            </w:tcMar>
          </w:tcPr>
          <w:p>
            <w:pPr>
              <w:pStyle w:val="Normal"/>
              <w:snapToGrid w:val="false"/>
              <w:rPr>
                <w:sz w:val="20"/>
              </w:rPr>
            </w:pPr>
            <w:r>
              <w:rPr>
                <w:sz w:val="20"/>
              </w:rPr>
            </w:r>
          </w:p>
        </w:tc>
      </w:tr>
      <w:tr>
        <w:trPr/>
        <w:tc>
          <w:tcPr>
            <w:tcW w:w="4050" w:type="dxa"/>
            <w:tcBorders>
              <w:top w:val="single" w:sz="6" w:space="0" w:color="000000"/>
              <w:start w:val="single" w:sz="6" w:space="0" w:color="000000"/>
              <w:bottom w:val="single" w:sz="6" w:space="0" w:color="FFFFFF"/>
              <w:end w:val="single" w:sz="6" w:space="0" w:color="000000"/>
            </w:tcBorders>
          </w:tcPr>
          <w:p>
            <w:pPr>
              <w:pStyle w:val="Normal"/>
              <w:rPr>
                <w:b/>
                <w:u w:val="single"/>
              </w:rPr>
            </w:pPr>
            <w:r>
              <w:rPr>
                <w:b/>
                <w:u w:val="single"/>
              </w:rPr>
              <w:t>Part 2:  Regulatory Risk (AI/VM)</w:t>
            </w:r>
          </w:p>
        </w:tc>
        <w:tc>
          <w:tcPr>
            <w:tcW w:w="5040" w:type="dxa"/>
            <w:tcBorders>
              <w:top w:val="single" w:sz="6" w:space="0" w:color="000000"/>
              <w:start w:val="single" w:sz="6" w:space="0" w:color="FFFFFF"/>
              <w:bottom w:val="single" w:sz="6" w:space="0" w:color="FFFFFF"/>
              <w:end w:val="single" w:sz="6" w:space="0" w:color="000000"/>
            </w:tcBorders>
          </w:tcPr>
          <w:p>
            <w:pPr>
              <w:pStyle w:val="Normal"/>
              <w:snapToGrid w:val="false"/>
              <w:rPr>
                <w:b/>
                <w:sz w:val="20"/>
                <w:u w:val="single"/>
              </w:rPr>
            </w:pPr>
            <w:r>
              <w:rPr>
                <w:b/>
                <w:sz w:val="20"/>
                <w:u w:val="single"/>
              </w:rPr>
            </w:r>
          </w:p>
        </w:tc>
        <w:tc>
          <w:tcPr>
            <w:tcW w:w="5040" w:type="dxa"/>
            <w:tcBorders>
              <w:top w:val="single" w:sz="6" w:space="0" w:color="000000"/>
              <w:start w:val="single" w:sz="6" w:space="0" w:color="FFFFFF"/>
              <w:bottom w:val="single" w:sz="6" w:space="0" w:color="FFFFFF"/>
              <w:end w:val="single" w:sz="6" w:space="0" w:color="000000"/>
            </w:tcBorders>
          </w:tcPr>
          <w:p>
            <w:pPr>
              <w:pStyle w:val="Normal"/>
              <w:snapToGrid w:val="false"/>
              <w:rPr>
                <w:sz w:val="20"/>
              </w:rPr>
            </w:pPr>
            <w:r>
              <w:rPr>
                <w:sz w:val="20"/>
              </w:rPr>
            </w:r>
          </w:p>
        </w:tc>
        <w:tc>
          <w:tcPr>
            <w:tcW w:w="11160" w:type="dxa"/>
            <w:gridSpan w:val="2"/>
            <w:tcBorders/>
            <w:tcMar>
              <w:start w:w="0" w:type="dxa"/>
              <w:end w:w="0" w:type="dxa"/>
            </w:tcMar>
          </w:tcPr>
          <w:p>
            <w:pPr>
              <w:pStyle w:val="Normal"/>
              <w:snapToGrid w:val="false"/>
              <w:rPr>
                <w:sz w:val="20"/>
              </w:rPr>
            </w:pPr>
            <w:r>
              <w:rPr>
                <w:sz w:val="20"/>
              </w:rPr>
            </w:r>
          </w:p>
        </w:tc>
      </w:tr>
      <w:tr>
        <w:trPr/>
        <w:tc>
          <w:tcPr>
            <w:tcW w:w="4050" w:type="dxa"/>
            <w:tcBorders>
              <w:top w:val="single" w:sz="6" w:space="0" w:color="000000"/>
              <w:start w:val="single" w:sz="6" w:space="0" w:color="000000"/>
              <w:bottom w:val="single" w:sz="6" w:space="0" w:color="FFFFFF"/>
              <w:end w:val="single" w:sz="6" w:space="0" w:color="000000"/>
            </w:tcBorders>
          </w:tcPr>
          <w:p>
            <w:pPr>
              <w:pStyle w:val="Normal"/>
              <w:jc w:val="both"/>
              <w:rPr/>
            </w:pPr>
            <w:r>
              <w:rPr>
                <w:sz w:val="20"/>
                <w:u w:val="single"/>
              </w:rPr>
              <w:t>Structural</w:t>
            </w:r>
            <w:r>
              <w:rPr>
                <w:sz w:val="20"/>
              </w:rPr>
              <w:t xml:space="preserve">: </w:t>
            </w:r>
            <w:r>
              <w:rPr/>
              <w:t xml:space="preserve">The regulatory system must reflect independence, impartiality, enforceability, and transparency and offer a course of appeal.  The cost of regulation must be borne by all users of the system in a fair and equitable manner. </w:t>
            </w:r>
          </w:p>
          <w:p>
            <w:pPr>
              <w:pStyle w:val="Normal"/>
              <w:jc w:val="both"/>
              <w:rPr/>
            </w:pPr>
            <w:r>
              <w:rPr/>
            </w:r>
          </w:p>
          <w:p>
            <w:pPr>
              <w:pStyle w:val="Normal"/>
              <w:numPr>
                <w:ilvl w:val="0"/>
                <w:numId w:val="0"/>
              </w:numPr>
              <w:ind w:hanging="0" w:start="0"/>
              <w:jc w:val="both"/>
              <w:rPr>
                <w:sz w:val="20"/>
                <w:u w:val="single"/>
              </w:rPr>
            </w:pPr>
            <w:r>
              <w:rPr/>
              <w:t>The regulatory system in Guatemala is not strictly comparable to the criteria</w:t>
            </w:r>
          </w:p>
        </w:tc>
        <w:tc>
          <w:tcPr>
            <w:tcW w:w="5040" w:type="dxa"/>
            <w:tcBorders>
              <w:top w:val="single" w:sz="6" w:space="0" w:color="000000"/>
              <w:start w:val="single" w:sz="6" w:space="0" w:color="FFFFFF"/>
              <w:bottom w:val="single" w:sz="6" w:space="0" w:color="FFFFFF"/>
              <w:end w:val="single" w:sz="6" w:space="0" w:color="000000"/>
            </w:tcBorders>
          </w:tcPr>
          <w:p>
            <w:pPr>
              <w:pStyle w:val="Header"/>
              <w:tabs>
                <w:tab w:val="clear" w:pos="4320"/>
                <w:tab w:val="clear" w:pos="8640"/>
              </w:tabs>
              <w:spacing w:before="60" w:after="60"/>
              <w:jc w:val="both"/>
              <w:rPr>
                <w:color w:val="FF0000"/>
              </w:rPr>
            </w:pPr>
            <w:r>
              <w:rPr>
                <w:color w:val="FF0000"/>
              </w:rPr>
              <w:t xml:space="preserve">Loss of effective control over the technical and financial operation of LDC because of the regulatory system characteristics. </w:t>
            </w:r>
          </w:p>
          <w:p>
            <w:pPr>
              <w:pStyle w:val="BodyText"/>
              <w:rPr/>
            </w:pPr>
            <w:r>
              <w:rPr/>
              <w:t>The cost of regulation borne by the distribution companies only will result in an unfavorable competitive position with other market agents</w:t>
            </w:r>
          </w:p>
          <w:p>
            <w:pPr>
              <w:pStyle w:val="Normal"/>
              <w:jc w:val="both"/>
              <w:rPr>
                <w:color w:val="FF0000"/>
              </w:rPr>
            </w:pPr>
            <w:r>
              <w:rPr>
                <w:color w:val="FF0000"/>
              </w:rPr>
            </w:r>
          </w:p>
          <w:p>
            <w:pPr>
              <w:pStyle w:val="Normal"/>
              <w:jc w:val="both"/>
              <w:rPr>
                <w:color w:val="FF0000"/>
              </w:rPr>
            </w:pPr>
            <w:r>
              <w:rPr>
                <w:color w:val="FF0000"/>
              </w:rPr>
              <w:t xml:space="preserve">Course of Appeal through the normal judicial system can prove costly and time-consuming. </w:t>
            </w:r>
          </w:p>
          <w:p>
            <w:pPr>
              <w:pStyle w:val="Normal"/>
              <w:jc w:val="both"/>
              <w:rPr>
                <w:rFonts w:ascii="Times New Roman" w:hAnsi="Times New Roman" w:cs="Times New Roman"/>
                <w:color w:val="FF0000"/>
                <w:sz w:val="24"/>
              </w:rPr>
            </w:pPr>
            <w:r>
              <w:rPr>
                <w:rFonts w:cs="Times New Roman"/>
                <w:color w:val="FF0000"/>
                <w:sz w:val="24"/>
              </w:rPr>
              <w:t xml:space="preserve">Examples: </w:t>
            </w:r>
          </w:p>
          <w:p>
            <w:pPr>
              <w:pStyle w:val="Normal"/>
              <w:numPr>
                <w:ilvl w:val="0"/>
                <w:numId w:val="10"/>
              </w:numPr>
              <w:tabs>
                <w:tab w:val="clear" w:pos="720"/>
              </w:tabs>
              <w:jc w:val="both"/>
              <w:rPr>
                <w:color w:val="FF0000"/>
                <w:sz w:val="24"/>
              </w:rPr>
            </w:pPr>
            <w:r>
              <w:rPr>
                <w:color w:val="FF0000"/>
                <w:sz w:val="24"/>
              </w:rPr>
              <w:t>Article 4 of Law 93/96 indicates that CNEE is functionally independent only</w:t>
            </w:r>
            <w:r>
              <w:rPr>
                <w:color w:val="FF0000"/>
              </w:rPr>
              <w:t xml:space="preserve">.  </w:t>
            </w:r>
            <w:r>
              <w:rPr>
                <w:color w:val="FF0000"/>
                <w:sz w:val="24"/>
              </w:rPr>
              <w:t xml:space="preserve">Members are appointed and not elected.  CNEE does not report to a legislative body. </w:t>
            </w:r>
          </w:p>
          <w:p>
            <w:pPr>
              <w:pStyle w:val="Normal"/>
              <w:numPr>
                <w:ilvl w:val="0"/>
                <w:numId w:val="10"/>
              </w:numPr>
              <w:tabs>
                <w:tab w:val="clear" w:pos="720"/>
              </w:tabs>
              <w:jc w:val="both"/>
              <w:rPr>
                <w:color w:val="FF0000"/>
                <w:sz w:val="24"/>
              </w:rPr>
            </w:pPr>
            <w:r>
              <w:rPr>
                <w:color w:val="FF0000"/>
                <w:sz w:val="24"/>
              </w:rPr>
              <w:t>Article 5 of Law 93/96 indicates that only LDC companies are responsible for cost of regulation  (0.3% of tot</w:t>
            </w:r>
            <w:r>
              <w:rPr>
                <w:color w:val="FF0000"/>
              </w:rPr>
              <w:t>al electric energy distributed</w:t>
            </w:r>
            <w:r>
              <w:rPr>
                <w:color w:val="FF0000"/>
                <w:sz w:val="24"/>
              </w:rPr>
              <w:t xml:space="preserve">). </w:t>
            </w:r>
          </w:p>
          <w:p>
            <w:pPr>
              <w:pStyle w:val="Normal"/>
              <w:numPr>
                <w:ilvl w:val="0"/>
                <w:numId w:val="10"/>
              </w:numPr>
              <w:tabs>
                <w:tab w:val="clear" w:pos="720"/>
              </w:tabs>
              <w:jc w:val="both"/>
              <w:rPr>
                <w:color w:val="FF0000"/>
                <w:sz w:val="24"/>
              </w:rPr>
            </w:pPr>
            <w:r>
              <w:rPr>
                <w:color w:val="FF0000"/>
                <w:sz w:val="24"/>
              </w:rPr>
              <w:t>Unclear demarcation lines between the CNEE and the M</w:t>
            </w:r>
            <w:r>
              <w:rPr>
                <w:color w:val="FF0000"/>
              </w:rPr>
              <w:t xml:space="preserve">inistry of Energy (e.g. A. </w:t>
            </w:r>
            <w:r>
              <w:rPr>
                <w:color w:val="FF0000"/>
                <w:sz w:val="24"/>
              </w:rPr>
              <w:t>55 of 93/96).</w:t>
            </w:r>
          </w:p>
          <w:p>
            <w:pPr>
              <w:pStyle w:val="Normal"/>
              <w:numPr>
                <w:ilvl w:val="0"/>
                <w:numId w:val="10"/>
              </w:numPr>
              <w:tabs>
                <w:tab w:val="clear" w:pos="720"/>
              </w:tabs>
              <w:jc w:val="both"/>
              <w:rPr>
                <w:color w:val="FF0000"/>
                <w:sz w:val="20"/>
              </w:rPr>
            </w:pPr>
            <w:r>
              <w:rPr>
                <w:color w:val="FF0000"/>
                <w:sz w:val="24"/>
              </w:rPr>
              <w:t>Absences of cl</w:t>
            </w:r>
            <w:r>
              <w:rPr>
                <w:color w:val="FF0000"/>
              </w:rPr>
              <w:t>ear conflict resolution process (with exception of estimating VAD, A. 75).</w:t>
            </w:r>
          </w:p>
        </w:tc>
        <w:tc>
          <w:tcPr>
            <w:tcW w:w="5040" w:type="dxa"/>
            <w:tcBorders>
              <w:top w:val="single" w:sz="6" w:space="0" w:color="000000"/>
              <w:start w:val="single" w:sz="6" w:space="0" w:color="FFFFFF"/>
              <w:bottom w:val="single" w:sz="6" w:space="0" w:color="FFFFFF"/>
              <w:end w:val="single" w:sz="6" w:space="0" w:color="000000"/>
            </w:tcBorders>
          </w:tcPr>
          <w:p>
            <w:pPr>
              <w:pStyle w:val="Normal"/>
              <w:jc w:val="both"/>
              <w:rPr>
                <w:color w:val="FF0000"/>
              </w:rPr>
            </w:pPr>
            <w:r>
              <w:rPr>
                <w:color w:val="FF0000"/>
              </w:rPr>
              <w:t xml:space="preserve">Some of the positive characteristics of the regulatory system include accountability, and enforceability.  Two out of the three-person-CNEE are nominated by the Academia and the Wholesale Market Agents. </w:t>
            </w:r>
          </w:p>
          <w:p>
            <w:pPr>
              <w:pStyle w:val="Normal"/>
              <w:rPr>
                <w:color w:val="FF0000"/>
              </w:rPr>
            </w:pPr>
            <w:r>
              <w:rPr>
                <w:color w:val="FF0000"/>
              </w:rPr>
            </w:r>
          </w:p>
          <w:p>
            <w:pPr>
              <w:pStyle w:val="Normal"/>
              <w:rPr>
                <w:color w:val="FF0000"/>
              </w:rPr>
            </w:pPr>
            <w:r>
              <w:rPr>
                <w:color w:val="FF0000"/>
              </w:rPr>
              <w:t xml:space="preserve">Manage and maintain relationship with CNEE (capture the regulatory process).  </w:t>
            </w:r>
          </w:p>
          <w:p>
            <w:pPr>
              <w:pStyle w:val="Normal"/>
              <w:rPr>
                <w:color w:val="FF0000"/>
              </w:rPr>
            </w:pPr>
            <w:r>
              <w:rPr>
                <w:color w:val="FF0000"/>
              </w:rPr>
            </w:r>
          </w:p>
          <w:p>
            <w:pPr>
              <w:pStyle w:val="Normal"/>
              <w:rPr/>
            </w:pPr>
            <w:r>
              <w:rPr>
                <w:color w:val="FF0000"/>
              </w:rPr>
              <w:t xml:space="preserve">Seek answers to the relevant questions. </w:t>
            </w:r>
          </w:p>
          <w:p>
            <w:pPr>
              <w:pStyle w:val="Normal"/>
              <w:rPr>
                <w:color w:val="FF0000"/>
              </w:rPr>
            </w:pPr>
            <w:r>
              <w:rPr>
                <w:color w:val="FF0000"/>
              </w:rPr>
            </w:r>
          </w:p>
        </w:tc>
        <w:tc>
          <w:tcPr>
            <w:tcW w:w="11160" w:type="dxa"/>
            <w:gridSpan w:val="2"/>
            <w:tcBorders/>
            <w:tcMar>
              <w:start w:w="0" w:type="dxa"/>
              <w:end w:w="0" w:type="dxa"/>
            </w:tcMar>
          </w:tcPr>
          <w:p>
            <w:pPr>
              <w:pStyle w:val="Normal"/>
              <w:snapToGrid w:val="false"/>
              <w:rPr>
                <w:color w:val="FF0000"/>
                <w:sz w:val="20"/>
              </w:rPr>
            </w:pPr>
            <w:r>
              <w:rPr>
                <w:color w:val="FF0000"/>
                <w:sz w:val="20"/>
              </w:rPr>
            </w:r>
          </w:p>
        </w:tc>
      </w:tr>
      <w:tr>
        <w:trPr/>
        <w:tc>
          <w:tcPr>
            <w:tcW w:w="4050" w:type="dxa"/>
            <w:tcBorders>
              <w:top w:val="single" w:sz="6" w:space="0" w:color="000000"/>
              <w:start w:val="single" w:sz="6" w:space="0" w:color="000000"/>
              <w:bottom w:val="single" w:sz="6" w:space="0" w:color="FFFFFF"/>
              <w:end w:val="single" w:sz="6" w:space="0" w:color="000000"/>
            </w:tcBorders>
          </w:tcPr>
          <w:p>
            <w:pPr>
              <w:pStyle w:val="Normal"/>
              <w:snapToGrid w:val="false"/>
              <w:jc w:val="both"/>
              <w:rPr>
                <w:sz w:val="20"/>
              </w:rPr>
            </w:pPr>
            <w:r>
              <w:rPr>
                <w:sz w:val="20"/>
              </w:rPr>
            </w:r>
          </w:p>
          <w:p>
            <w:pPr>
              <w:pStyle w:val="Normal"/>
              <w:rPr>
                <w:sz w:val="20"/>
              </w:rPr>
            </w:pPr>
            <w:r>
              <w:rPr/>
              <w:t>.</w:t>
            </w:r>
          </w:p>
        </w:tc>
        <w:tc>
          <w:tcPr>
            <w:tcW w:w="5040" w:type="dxa"/>
            <w:tcBorders>
              <w:top w:val="single" w:sz="6" w:space="0" w:color="000000"/>
              <w:start w:val="single" w:sz="6" w:space="0" w:color="FFFFFF"/>
              <w:bottom w:val="single" w:sz="6" w:space="0" w:color="FFFFFF"/>
              <w:end w:val="single" w:sz="6" w:space="0" w:color="000000"/>
            </w:tcBorders>
          </w:tcPr>
          <w:p>
            <w:pPr>
              <w:pStyle w:val="Header"/>
              <w:tabs>
                <w:tab w:val="clear" w:pos="4320"/>
                <w:tab w:val="clear" w:pos="8640"/>
              </w:tabs>
              <w:snapToGrid w:val="false"/>
              <w:spacing w:before="60" w:after="60"/>
              <w:jc w:val="both"/>
              <w:rPr>
                <w:color w:val="FF0000"/>
                <w:sz w:val="20"/>
              </w:rPr>
            </w:pPr>
            <w:r>
              <w:rPr>
                <w:color w:val="FF0000"/>
                <w:sz w:val="20"/>
              </w:rPr>
            </w:r>
          </w:p>
          <w:p>
            <w:pPr>
              <w:pStyle w:val="Normal"/>
              <w:numPr>
                <w:ilvl w:val="0"/>
                <w:numId w:val="0"/>
              </w:numPr>
              <w:tabs>
                <w:tab w:val="clear" w:pos="720"/>
              </w:tabs>
              <w:ind w:hanging="0" w:start="0"/>
              <w:jc w:val="both"/>
              <w:rPr>
                <w:color w:val="FF0000"/>
                <w:sz w:val="20"/>
              </w:rPr>
            </w:pPr>
            <w:r>
              <w:rPr>
                <w:color w:val="FF0000"/>
                <w:sz w:val="20"/>
              </w:rPr>
            </w:r>
          </w:p>
        </w:tc>
        <w:tc>
          <w:tcPr>
            <w:tcW w:w="5040" w:type="dxa"/>
            <w:tcBorders>
              <w:top w:val="single" w:sz="6" w:space="0" w:color="000000"/>
              <w:start w:val="single" w:sz="6" w:space="0" w:color="FFFFFF"/>
              <w:bottom w:val="single" w:sz="6" w:space="0" w:color="FFFFFF"/>
              <w:end w:val="single" w:sz="6" w:space="0" w:color="000000"/>
            </w:tcBorders>
          </w:tcPr>
          <w:p>
            <w:pPr>
              <w:pStyle w:val="Normal"/>
              <w:snapToGrid w:val="false"/>
              <w:jc w:val="both"/>
              <w:rPr>
                <w:color w:val="FF0000"/>
                <w:sz w:val="20"/>
              </w:rPr>
            </w:pPr>
            <w:r>
              <w:rPr>
                <w:color w:val="FF0000"/>
                <w:sz w:val="20"/>
              </w:rPr>
            </w:r>
          </w:p>
          <w:p>
            <w:pPr>
              <w:pStyle w:val="Normal"/>
              <w:rPr>
                <w:color w:val="FF0000"/>
              </w:rPr>
            </w:pPr>
            <w:r>
              <w:rPr>
                <w:color w:val="FF0000"/>
              </w:rPr>
            </w:r>
          </w:p>
          <w:p>
            <w:pPr>
              <w:pStyle w:val="Normal"/>
              <w:rPr>
                <w:color w:val="FF0000"/>
                <w:sz w:val="24"/>
              </w:rPr>
            </w:pPr>
            <w:r>
              <w:rPr>
                <w:color w:val="FF0000"/>
                <w:sz w:val="24"/>
              </w:rPr>
            </w:r>
          </w:p>
        </w:tc>
        <w:tc>
          <w:tcPr>
            <w:tcW w:w="11160" w:type="dxa"/>
            <w:gridSpan w:val="2"/>
            <w:tcBorders/>
            <w:tcMar>
              <w:start w:w="0" w:type="dxa"/>
              <w:end w:w="0" w:type="dxa"/>
            </w:tcMar>
          </w:tcPr>
          <w:p>
            <w:pPr>
              <w:pStyle w:val="Normal"/>
              <w:snapToGrid w:val="false"/>
              <w:rPr>
                <w:color w:val="FF0000"/>
                <w:sz w:val="20"/>
              </w:rPr>
            </w:pPr>
            <w:r>
              <w:rPr>
                <w:color w:val="FF0000"/>
                <w:sz w:val="20"/>
              </w:rPr>
            </w:r>
          </w:p>
        </w:tc>
      </w:tr>
      <w:tr>
        <w:trPr/>
        <w:tc>
          <w:tcPr>
            <w:tcW w:w="4050" w:type="dxa"/>
            <w:tcBorders>
              <w:top w:val="single" w:sz="6" w:space="0" w:color="000000"/>
              <w:start w:val="single" w:sz="6" w:space="0" w:color="000000"/>
              <w:bottom w:val="single" w:sz="6" w:space="0" w:color="FFFFFF"/>
              <w:end w:val="single" w:sz="6" w:space="0" w:color="000000"/>
            </w:tcBorders>
          </w:tcPr>
          <w:p>
            <w:pPr>
              <w:pStyle w:val="Normal"/>
              <w:spacing w:before="0" w:after="0"/>
              <w:ind w:end="0"/>
              <w:rPr>
                <w:sz w:val="24"/>
                <w:u w:val="single"/>
              </w:rPr>
            </w:pPr>
            <w:r>
              <w:rPr>
                <w:sz w:val="24"/>
                <w:u w:val="single"/>
              </w:rPr>
              <w:t>Obligation to Service Customers (AI)</w:t>
            </w:r>
            <w:r>
              <w:rPr>
                <w:u w:val="single"/>
              </w:rPr>
              <w:t xml:space="preserve">: </w:t>
            </w:r>
            <w:r>
              <w:rPr/>
              <w:t xml:space="preserve">Obligations are clearly differentiated between commitment to connect and commitment to supply that are in line with the compensatory scheme. </w:t>
            </w:r>
          </w:p>
        </w:tc>
        <w:tc>
          <w:tcPr>
            <w:tcW w:w="5040" w:type="dxa"/>
            <w:tcBorders>
              <w:top w:val="single" w:sz="6" w:space="0" w:color="000000"/>
              <w:start w:val="single" w:sz="6" w:space="0" w:color="FFFFFF"/>
              <w:bottom w:val="single" w:sz="6" w:space="0" w:color="FFFFFF"/>
              <w:end w:val="single" w:sz="6" w:space="0" w:color="000000"/>
            </w:tcBorders>
          </w:tcPr>
          <w:p>
            <w:pPr>
              <w:pStyle w:val="Header"/>
              <w:numPr>
                <w:ilvl w:val="0"/>
                <w:numId w:val="3"/>
              </w:numPr>
              <w:tabs>
                <w:tab w:val="clear" w:pos="4320"/>
                <w:tab w:val="clear" w:pos="8640"/>
              </w:tabs>
              <w:spacing w:before="60" w:after="60"/>
              <w:ind w:start="360" w:end="0"/>
              <w:jc w:val="both"/>
              <w:rPr>
                <w:color w:val="FF0000"/>
                <w:sz w:val="20"/>
              </w:rPr>
            </w:pPr>
            <w:r>
              <w:rPr>
                <w:color w:val="FF0000"/>
              </w:rPr>
              <w:t>A.46 of Law 93/96 sets the distributor’s obligation to serve all parties interested in consuming electric energy inside the compulsory service area.  This obligation encompasses the procuring of energy and capacity for their consumption.  Article 53 obliges the distributor to have valid contracts for energy and capacity in place for two years.  However, Article 8 of Resolution 15/98 indicates that the customer can be on a rate class schedule for only 12 month.  This may cause the distribution company to under collect during the second year (also see Article 69 of the Regulation).</w:t>
            </w:r>
          </w:p>
          <w:p>
            <w:pPr>
              <w:pStyle w:val="Header"/>
              <w:numPr>
                <w:ilvl w:val="0"/>
                <w:numId w:val="3"/>
              </w:numPr>
              <w:spacing w:before="60" w:after="60"/>
              <w:jc w:val="both"/>
              <w:rPr>
                <w:color w:val="FF0000"/>
                <w:sz w:val="20"/>
              </w:rPr>
            </w:pPr>
            <w:r>
              <w:rPr>
                <w:color w:val="FF0000"/>
              </w:rPr>
              <w:t>A.47 of Law 93/96 indicates the possibility to involve the distribution company in serving rural electrification, and social-benefit based projects. The same article indicates that the Government “may” grant funds to defray total, or partial, cost of investment.  Rules of determining the limits of these projects, how and when the utility will be compensated are not in place</w:t>
            </w:r>
            <w:r>
              <w:rPr>
                <w:rStyle w:val="FootnoteCharacters"/>
                <w:rStyle w:val="FootnoteReference"/>
                <w:color w:val="FF0000"/>
                <w:sz w:val="20"/>
                <w:vertAlign w:val="superscript"/>
              </w:rPr>
              <w:footnoteReference w:id="2"/>
            </w:r>
            <w:r>
              <w:rPr>
                <w:color w:val="FF0000"/>
              </w:rPr>
              <w:t xml:space="preserve">.  </w:t>
            </w:r>
          </w:p>
        </w:tc>
        <w:tc>
          <w:tcPr>
            <w:tcW w:w="5040" w:type="dxa"/>
            <w:tcBorders>
              <w:top w:val="single" w:sz="6" w:space="0" w:color="000000"/>
              <w:start w:val="single" w:sz="6" w:space="0" w:color="FFFFFF"/>
              <w:bottom w:val="single" w:sz="6" w:space="0" w:color="FFFFFF"/>
              <w:end w:val="single" w:sz="6" w:space="0" w:color="000000"/>
            </w:tcBorders>
          </w:tcPr>
          <w:p>
            <w:pPr>
              <w:pStyle w:val="Normal"/>
              <w:snapToGrid w:val="false"/>
              <w:spacing w:before="60" w:after="60"/>
              <w:jc w:val="both"/>
              <w:rPr>
                <w:color w:val="FF0000"/>
                <w:sz w:val="20"/>
              </w:rPr>
            </w:pPr>
            <w:r>
              <w:rPr>
                <w:color w:val="FF0000"/>
                <w:sz w:val="20"/>
              </w:rPr>
            </w:r>
          </w:p>
          <w:p>
            <w:pPr>
              <w:pStyle w:val="Normal"/>
              <w:rPr>
                <w:color w:val="FF0000"/>
                <w:sz w:val="20"/>
              </w:rPr>
            </w:pPr>
            <w:r>
              <w:rPr>
                <w:color w:val="FF0000"/>
              </w:rPr>
              <w:t>Seek answers to the following questions</w:t>
            </w:r>
          </w:p>
          <w:p>
            <w:pPr>
              <w:pStyle w:val="Normal"/>
              <w:numPr>
                <w:ilvl w:val="0"/>
                <w:numId w:val="7"/>
              </w:numPr>
              <w:tabs>
                <w:tab w:val="clear" w:pos="720"/>
                <w:tab w:val="left" w:pos="503" w:leader="none"/>
              </w:tabs>
              <w:spacing w:lineRule="atLeast" w:line="240"/>
              <w:ind w:hanging="360" w:start="503" w:end="0"/>
              <w:rPr>
                <w:color w:val="FF0000"/>
              </w:rPr>
            </w:pPr>
            <w:r>
              <w:rPr>
                <w:color w:val="FF0000"/>
              </w:rPr>
              <w:t>What do social-benefit programs consist of (e.g., lifeline, economic development, DSM/conservation, etc.)?</w:t>
            </w:r>
          </w:p>
          <w:p>
            <w:pPr>
              <w:pStyle w:val="Normal"/>
              <w:numPr>
                <w:ilvl w:val="0"/>
                <w:numId w:val="7"/>
              </w:numPr>
              <w:tabs>
                <w:tab w:val="clear" w:pos="720"/>
                <w:tab w:val="left" w:pos="503" w:leader="none"/>
              </w:tabs>
              <w:spacing w:lineRule="atLeast" w:line="240"/>
              <w:ind w:hanging="360" w:start="503" w:end="0"/>
              <w:rPr>
                <w:color w:val="FF0000"/>
                <w:sz w:val="20"/>
              </w:rPr>
            </w:pPr>
            <w:r>
              <w:rPr>
                <w:color w:val="FF0000"/>
              </w:rPr>
              <w:t>Does the Ministry guarantees prepayment of the social-benefit costs?  (Cross-class recovery is prohibited, A.61 of 93/96).</w:t>
            </w:r>
          </w:p>
          <w:p>
            <w:pPr>
              <w:pStyle w:val="Normal"/>
              <w:numPr>
                <w:ilvl w:val="0"/>
                <w:numId w:val="7"/>
              </w:numPr>
              <w:spacing w:lineRule="atLeast" w:line="240" w:before="0" w:after="0"/>
              <w:ind w:hanging="360" w:start="503" w:end="0"/>
              <w:rPr>
                <w:color w:val="FF0000"/>
                <w:sz w:val="20"/>
              </w:rPr>
            </w:pPr>
            <w:r>
              <w:rPr>
                <w:color w:val="FF0000"/>
              </w:rPr>
              <w:t>Who studies and administers these programs?</w:t>
            </w:r>
          </w:p>
        </w:tc>
        <w:tc>
          <w:tcPr>
            <w:tcW w:w="11160" w:type="dxa"/>
            <w:gridSpan w:val="2"/>
            <w:tcBorders/>
            <w:tcMar>
              <w:start w:w="0" w:type="dxa"/>
              <w:end w:w="0" w:type="dxa"/>
            </w:tcMar>
          </w:tcPr>
          <w:p>
            <w:pPr>
              <w:pStyle w:val="Normal"/>
              <w:snapToGrid w:val="false"/>
              <w:spacing w:lineRule="atLeast" w:line="240" w:before="0" w:after="0"/>
              <w:ind w:start="503" w:end="0"/>
              <w:rPr>
                <w:color w:val="FF0000"/>
                <w:sz w:val="20"/>
              </w:rPr>
            </w:pPr>
            <w:r>
              <w:rPr>
                <w:color w:val="FF0000"/>
                <w:sz w:val="20"/>
              </w:rPr>
            </w:r>
          </w:p>
        </w:tc>
      </w:tr>
      <w:tr>
        <w:trPr/>
        <w:tc>
          <w:tcPr>
            <w:tcW w:w="4050" w:type="dxa"/>
            <w:tcBorders>
              <w:top w:val="single" w:sz="6" w:space="0" w:color="000000"/>
              <w:start w:val="single" w:sz="6" w:space="0" w:color="000000"/>
              <w:bottom w:val="single" w:sz="6" w:space="0" w:color="FFFFFF"/>
              <w:end w:val="single" w:sz="6" w:space="0" w:color="000000"/>
            </w:tcBorders>
          </w:tcPr>
          <w:p>
            <w:pPr>
              <w:pStyle w:val="Normal"/>
              <w:rPr/>
            </w:pPr>
            <w:r>
              <w:rPr>
                <w:sz w:val="24"/>
              </w:rPr>
              <w:t>Customer Choice of Supplier (AI)</w:t>
            </w:r>
            <w:r>
              <w:rPr/>
              <w:t xml:space="preserve">: Clear rules for entry and exit from the regulated customer base that are in line with the obligation to serve. </w:t>
            </w:r>
          </w:p>
        </w:tc>
        <w:tc>
          <w:tcPr>
            <w:tcW w:w="5040" w:type="dxa"/>
            <w:tcBorders>
              <w:top w:val="single" w:sz="6" w:space="0" w:color="000000"/>
              <w:start w:val="single" w:sz="6" w:space="0" w:color="FFFFFF"/>
              <w:bottom w:val="single" w:sz="6" w:space="0" w:color="FFFFFF"/>
              <w:end w:val="single" w:sz="6" w:space="0" w:color="000000"/>
            </w:tcBorders>
          </w:tcPr>
          <w:p>
            <w:pPr>
              <w:pStyle w:val="Normal"/>
              <w:numPr>
                <w:ilvl w:val="0"/>
                <w:numId w:val="2"/>
              </w:numPr>
              <w:rPr>
                <w:color w:val="FF0000"/>
              </w:rPr>
            </w:pPr>
            <w:r>
              <w:rPr>
                <w:color w:val="FF0000"/>
              </w:rPr>
              <w:t xml:space="preserve">Would eligible customers for an alternative source of supply have to give notice to the incumbent utility before terminating the contract or pay an exit fee (See A. 69 of the Regulation).  </w:t>
            </w:r>
          </w:p>
          <w:p>
            <w:pPr>
              <w:pStyle w:val="Normal"/>
              <w:numPr>
                <w:ilvl w:val="0"/>
                <w:numId w:val="2"/>
              </w:numPr>
              <w:rPr>
                <w:color w:val="FF0000"/>
              </w:rPr>
            </w:pPr>
            <w:r>
              <w:rPr>
                <w:color w:val="FF0000"/>
              </w:rPr>
              <w:t>As customers inside the exclusion zone have the right of supply regardless of load size, would they require to give notice to enter into supply contract or pay an entrance fee?</w:t>
            </w:r>
          </w:p>
          <w:p>
            <w:pPr>
              <w:pStyle w:val="Normal"/>
              <w:numPr>
                <w:ilvl w:val="0"/>
                <w:numId w:val="2"/>
              </w:numPr>
              <w:rPr>
                <w:color w:val="FF0000"/>
              </w:rPr>
            </w:pPr>
            <w:r>
              <w:rPr>
                <w:color w:val="FF0000"/>
              </w:rPr>
              <w:t>Do marketers have the right to aggregate?</w:t>
            </w:r>
          </w:p>
          <w:p>
            <w:pPr>
              <w:pStyle w:val="Normal"/>
              <w:numPr>
                <w:ilvl w:val="0"/>
                <w:numId w:val="2"/>
              </w:numPr>
              <w:rPr>
                <w:color w:val="FF0000"/>
              </w:rPr>
            </w:pPr>
            <w:r>
              <w:rPr>
                <w:color w:val="FF0000"/>
              </w:rPr>
              <w:t>What are the rules for muncipalization and shame municipalization?</w:t>
            </w:r>
          </w:p>
          <w:p>
            <w:pPr>
              <w:pStyle w:val="Normal"/>
              <w:rPr>
                <w:color w:val="FF0000"/>
              </w:rPr>
            </w:pPr>
            <w:r>
              <w:rPr>
                <w:color w:val="FF0000"/>
              </w:rPr>
            </w:r>
          </w:p>
        </w:tc>
        <w:tc>
          <w:tcPr>
            <w:tcW w:w="5040" w:type="dxa"/>
            <w:tcBorders>
              <w:top w:val="single" w:sz="6" w:space="0" w:color="000000"/>
              <w:start w:val="single" w:sz="6" w:space="0" w:color="FFFFFF"/>
              <w:bottom w:val="single" w:sz="6" w:space="0" w:color="FFFFFF"/>
              <w:end w:val="single" w:sz="6" w:space="0" w:color="000000"/>
            </w:tcBorders>
          </w:tcPr>
          <w:p>
            <w:pPr>
              <w:pStyle w:val="Normal"/>
              <w:rPr>
                <w:sz w:val="20"/>
              </w:rPr>
            </w:pPr>
            <w:r>
              <w:rPr>
                <w:color w:val="FF0000"/>
              </w:rPr>
              <w:t>Seek answers to the relevant questions.</w:t>
            </w:r>
          </w:p>
        </w:tc>
        <w:tc>
          <w:tcPr>
            <w:tcW w:w="11160" w:type="dxa"/>
            <w:gridSpan w:val="2"/>
            <w:tcBorders/>
            <w:tcMar>
              <w:start w:w="0" w:type="dxa"/>
              <w:end w:w="0" w:type="dxa"/>
            </w:tcMar>
          </w:tcPr>
          <w:p>
            <w:pPr>
              <w:pStyle w:val="Normal"/>
              <w:snapToGrid w:val="false"/>
              <w:rPr>
                <w:sz w:val="20"/>
              </w:rPr>
            </w:pPr>
            <w:r>
              <w:rPr>
                <w:sz w:val="20"/>
              </w:rPr>
            </w:r>
          </w:p>
        </w:tc>
      </w:tr>
      <w:tr>
        <w:trPr/>
        <w:tc>
          <w:tcPr>
            <w:tcW w:w="4050" w:type="dxa"/>
            <w:tcBorders>
              <w:top w:val="single" w:sz="6" w:space="0" w:color="000000"/>
              <w:start w:val="single" w:sz="6" w:space="0" w:color="000000"/>
              <w:bottom w:val="single" w:sz="6" w:space="0" w:color="FFFFFF"/>
              <w:end w:val="single" w:sz="6" w:space="0" w:color="000000"/>
            </w:tcBorders>
          </w:tcPr>
          <w:p>
            <w:pPr>
              <w:pStyle w:val="Normal"/>
              <w:numPr>
                <w:ilvl w:val="0"/>
                <w:numId w:val="0"/>
              </w:numPr>
              <w:ind w:hanging="0" w:start="0"/>
              <w:jc w:val="both"/>
              <w:rPr>
                <w:sz w:val="24"/>
              </w:rPr>
            </w:pPr>
            <w:r>
              <w:rPr/>
              <w:t>Rules of operation—including dispatching and Transmission:</w:t>
            </w:r>
          </w:p>
        </w:tc>
        <w:tc>
          <w:tcPr>
            <w:tcW w:w="5040" w:type="dxa"/>
            <w:tcBorders>
              <w:top w:val="single" w:sz="6" w:space="0" w:color="000000"/>
              <w:start w:val="single" w:sz="6" w:space="0" w:color="FFFFFF"/>
              <w:bottom w:val="single" w:sz="6" w:space="0" w:color="FFFFFF"/>
              <w:end w:val="single" w:sz="6" w:space="0" w:color="000000"/>
            </w:tcBorders>
          </w:tcPr>
          <w:p>
            <w:pPr>
              <w:pStyle w:val="Normal"/>
              <w:numPr>
                <w:ilvl w:val="0"/>
                <w:numId w:val="4"/>
              </w:numPr>
              <w:jc w:val="both"/>
              <w:rPr>
                <w:color w:val="FF0000"/>
              </w:rPr>
            </w:pPr>
            <w:r>
              <w:rPr>
                <w:color w:val="FF0000"/>
              </w:rPr>
              <w:t>It is not clear how the system will operate with customers inside the service territory of the UDC but taking supply from a third party?</w:t>
            </w:r>
          </w:p>
          <w:p>
            <w:pPr>
              <w:pStyle w:val="Normal"/>
              <w:numPr>
                <w:ilvl w:val="0"/>
                <w:numId w:val="4"/>
              </w:numPr>
              <w:rPr>
                <w:color w:val="FF0000"/>
              </w:rPr>
            </w:pPr>
            <w:r>
              <w:rPr>
                <w:color w:val="FF0000"/>
              </w:rPr>
              <w:t>Transmission service is not offered on comparable basis and a plain-leveled field to all users (</w:t>
            </w:r>
            <w:r>
              <w:rPr>
                <w:caps/>
                <w:color w:val="FF0000"/>
              </w:rPr>
              <w:t xml:space="preserve">A. 59.b). </w:t>
            </w:r>
          </w:p>
          <w:p>
            <w:pPr>
              <w:pStyle w:val="Normal"/>
              <w:numPr>
                <w:ilvl w:val="0"/>
                <w:numId w:val="4"/>
              </w:numPr>
              <w:rPr>
                <w:color w:val="FF0000"/>
              </w:rPr>
            </w:pPr>
            <w:r>
              <w:rPr>
                <w:color w:val="FF0000"/>
              </w:rPr>
              <w:t>Terms and conditions of the transmission services (including ancillary services) are not clear).</w:t>
            </w:r>
          </w:p>
          <w:p>
            <w:pPr>
              <w:pStyle w:val="Normal"/>
              <w:rPr>
                <w:color w:val="FF0000"/>
                <w:sz w:val="24"/>
              </w:rPr>
            </w:pPr>
            <w:r>
              <w:rPr>
                <w:color w:val="FF0000"/>
              </w:rPr>
              <w:t xml:space="preserve"> </w:t>
            </w:r>
          </w:p>
        </w:tc>
        <w:tc>
          <w:tcPr>
            <w:tcW w:w="5040" w:type="dxa"/>
            <w:tcBorders>
              <w:top w:val="single" w:sz="6" w:space="0" w:color="000000"/>
              <w:start w:val="single" w:sz="6" w:space="0" w:color="FFFFFF"/>
              <w:bottom w:val="single" w:sz="6" w:space="0" w:color="FFFFFF"/>
              <w:end w:val="single" w:sz="6" w:space="0" w:color="000000"/>
            </w:tcBorders>
          </w:tcPr>
          <w:p>
            <w:pPr>
              <w:pStyle w:val="Normal"/>
              <w:rPr>
                <w:color w:val="FF0000"/>
              </w:rPr>
            </w:pPr>
            <w:r>
              <w:rPr>
                <w:color w:val="FF0000"/>
              </w:rPr>
              <w:t xml:space="preserve">Seek answers to the relevant questions. </w:t>
            </w:r>
          </w:p>
          <w:p>
            <w:pPr>
              <w:pStyle w:val="Normal"/>
              <w:rPr>
                <w:color w:val="FF0000"/>
                <w:sz w:val="20"/>
              </w:rPr>
            </w:pPr>
            <w:r>
              <w:rPr>
                <w:color w:val="FF0000"/>
                <w:sz w:val="20"/>
              </w:rPr>
            </w:r>
          </w:p>
        </w:tc>
        <w:tc>
          <w:tcPr>
            <w:tcW w:w="11160" w:type="dxa"/>
            <w:gridSpan w:val="2"/>
            <w:tcBorders/>
            <w:tcMar>
              <w:start w:w="0" w:type="dxa"/>
              <w:end w:w="0" w:type="dxa"/>
            </w:tcMar>
          </w:tcPr>
          <w:p>
            <w:pPr>
              <w:pStyle w:val="Normal"/>
              <w:snapToGrid w:val="false"/>
              <w:rPr>
                <w:sz w:val="20"/>
              </w:rPr>
            </w:pPr>
            <w:r>
              <w:rPr>
                <w:sz w:val="20"/>
              </w:rPr>
            </w:r>
          </w:p>
        </w:tc>
      </w:tr>
      <w:tr>
        <w:trPr/>
        <w:tc>
          <w:tcPr>
            <w:tcW w:w="4050" w:type="dxa"/>
            <w:tcBorders>
              <w:top w:val="single" w:sz="6" w:space="0" w:color="000000"/>
              <w:start w:val="single" w:sz="6" w:space="0" w:color="000000"/>
              <w:bottom w:val="single" w:sz="6" w:space="0" w:color="FFFFFF"/>
              <w:end w:val="single" w:sz="6" w:space="0" w:color="000000"/>
            </w:tcBorders>
          </w:tcPr>
          <w:p>
            <w:pPr>
              <w:pStyle w:val="Header"/>
              <w:rPr>
                <w:color w:val="auto"/>
                <w:sz w:val="24"/>
              </w:rPr>
            </w:pPr>
            <w:r>
              <w:rPr>
                <w:color w:val="auto"/>
                <w:sz w:val="24"/>
              </w:rPr>
              <w:t>Service Quality Standards (AI)</w:t>
            </w:r>
          </w:p>
        </w:tc>
        <w:tc>
          <w:tcPr>
            <w:tcW w:w="5040" w:type="dxa"/>
            <w:tcBorders>
              <w:top w:val="single" w:sz="6" w:space="0" w:color="000000"/>
              <w:start w:val="single" w:sz="6" w:space="0" w:color="FFFFFF"/>
              <w:bottom w:val="single" w:sz="6" w:space="0" w:color="FFFFFF"/>
              <w:end w:val="single" w:sz="6" w:space="0" w:color="000000"/>
            </w:tcBorders>
          </w:tcPr>
          <w:p>
            <w:pPr>
              <w:pStyle w:val="Normal"/>
              <w:jc w:val="both"/>
              <w:rPr>
                <w:color w:val="FF0000"/>
              </w:rPr>
            </w:pPr>
            <w:r>
              <w:rPr>
                <w:color w:val="FF0000"/>
                <w:u w:val="single"/>
              </w:rPr>
              <w:t>Risks</w:t>
            </w:r>
            <w:r>
              <w:rPr>
                <w:color w:val="FF0000"/>
              </w:rPr>
              <w:t xml:space="preserve">: </w:t>
            </w:r>
          </w:p>
          <w:p>
            <w:pPr>
              <w:pStyle w:val="Normal"/>
              <w:numPr>
                <w:ilvl w:val="0"/>
                <w:numId w:val="6"/>
              </w:numPr>
              <w:jc w:val="both"/>
              <w:rPr>
                <w:color w:val="FF0000"/>
              </w:rPr>
            </w:pPr>
            <w:r>
              <w:rPr>
                <w:color w:val="FF0000"/>
              </w:rPr>
              <w:t>Excessively high service standards that are in need of substantial investment.</w:t>
            </w:r>
          </w:p>
          <w:p>
            <w:pPr>
              <w:pStyle w:val="Normal"/>
              <w:numPr>
                <w:ilvl w:val="0"/>
                <w:numId w:val="5"/>
              </w:numPr>
              <w:jc w:val="both"/>
              <w:rPr>
                <w:color w:val="FF0000"/>
              </w:rPr>
            </w:pPr>
            <w:r>
              <w:rPr>
                <w:color w:val="FF0000"/>
              </w:rPr>
              <w:t xml:space="preserve">Excessively high Service Standards that may trigger the rescission and termination of the authorization period (Articles 54 through 58). </w:t>
            </w:r>
          </w:p>
          <w:p>
            <w:pPr>
              <w:pStyle w:val="Normal"/>
              <w:jc w:val="both"/>
              <w:rPr>
                <w:color w:val="FF0000"/>
              </w:rPr>
            </w:pPr>
            <w:r>
              <w:rPr>
                <w:color w:val="FF0000"/>
              </w:rPr>
            </w:r>
          </w:p>
          <w:p>
            <w:pPr>
              <w:pStyle w:val="Normal"/>
              <w:jc w:val="both"/>
              <w:rPr>
                <w:color w:val="FF0000"/>
              </w:rPr>
            </w:pPr>
            <w:r>
              <w:rPr>
                <w:color w:val="FF0000"/>
              </w:rPr>
            </w:r>
          </w:p>
          <w:p>
            <w:pPr>
              <w:pStyle w:val="Normal"/>
              <w:jc w:val="both"/>
              <w:rPr>
                <w:color w:val="FF0000"/>
              </w:rPr>
            </w:pPr>
            <w:r>
              <w:rPr>
                <w:color w:val="FF0000"/>
              </w:rPr>
              <w:t>Article 51 of Law 93/96 stipulates that all users have the right to demand the supply of a quality electrical service in accordance with the procedure set out in this law and its regulations.</w:t>
            </w:r>
            <w:r>
              <w:rPr>
                <w:color w:val="FF0000"/>
                <w:spacing w:val="-3"/>
              </w:rPr>
              <w:t xml:space="preserve">  In Article 79 of the Regulation, these standards are determined by CNEE in their Distribution Service Technical Standards (NTSD</w:t>
            </w:r>
            <w:r>
              <w:rPr>
                <w:color w:val="FF0000"/>
              </w:rPr>
              <w:t xml:space="preserve">).  </w:t>
            </w:r>
          </w:p>
          <w:p>
            <w:pPr>
              <w:pStyle w:val="Normal"/>
              <w:jc w:val="both"/>
              <w:rPr>
                <w:rFonts w:ascii="Times New Roman" w:hAnsi="Times New Roman" w:cs="Times New Roman"/>
                <w:color w:val="FF0000"/>
                <w:sz w:val="24"/>
              </w:rPr>
            </w:pPr>
            <w:r>
              <w:rPr>
                <w:color w:val="FF0000"/>
              </w:rPr>
              <w:t xml:space="preserve">   </w:t>
            </w:r>
          </w:p>
        </w:tc>
        <w:tc>
          <w:tcPr>
            <w:tcW w:w="5040" w:type="dxa"/>
            <w:tcBorders>
              <w:top w:val="single" w:sz="6" w:space="0" w:color="000000"/>
              <w:start w:val="single" w:sz="6" w:space="0" w:color="FFFFFF"/>
              <w:bottom w:val="single" w:sz="6" w:space="0" w:color="FFFFFF"/>
              <w:end w:val="single" w:sz="6" w:space="0" w:color="000000"/>
            </w:tcBorders>
          </w:tcPr>
          <w:p>
            <w:pPr>
              <w:pStyle w:val="Normal"/>
              <w:snapToGrid w:val="false"/>
              <w:jc w:val="both"/>
              <w:rPr>
                <w:rFonts w:ascii="Times New Roman" w:hAnsi="Times New Roman" w:cs="Times New Roman"/>
                <w:color w:val="FF0000"/>
                <w:sz w:val="20"/>
              </w:rPr>
            </w:pPr>
            <w:r>
              <w:rPr>
                <w:rFonts w:cs="Times New Roman"/>
                <w:color w:val="FF0000"/>
                <w:sz w:val="20"/>
              </w:rPr>
            </w:r>
          </w:p>
          <w:p>
            <w:pPr>
              <w:pStyle w:val="Normal"/>
              <w:rPr>
                <w:color w:val="FF0000"/>
                <w:sz w:val="24"/>
              </w:rPr>
            </w:pPr>
            <w:r>
              <w:rPr>
                <w:color w:val="FF0000"/>
              </w:rPr>
              <w:t xml:space="preserve">NTSD should be checked by PGE for plausibility. </w:t>
            </w:r>
          </w:p>
        </w:tc>
        <w:tc>
          <w:tcPr>
            <w:tcW w:w="11160" w:type="dxa"/>
            <w:gridSpan w:val="2"/>
            <w:tcBorders/>
            <w:tcMar>
              <w:start w:w="0" w:type="dxa"/>
              <w:end w:w="0" w:type="dxa"/>
            </w:tcMar>
          </w:tcPr>
          <w:p>
            <w:pPr>
              <w:pStyle w:val="Normal"/>
              <w:snapToGrid w:val="false"/>
              <w:rPr>
                <w:color w:val="FF0000"/>
                <w:sz w:val="20"/>
              </w:rPr>
            </w:pPr>
            <w:r>
              <w:rPr>
                <w:color w:val="FF0000"/>
                <w:sz w:val="20"/>
              </w:rPr>
            </w:r>
          </w:p>
        </w:tc>
      </w:tr>
      <w:tr>
        <w:trPr/>
        <w:tc>
          <w:tcPr>
            <w:tcW w:w="4050" w:type="dxa"/>
            <w:tcBorders>
              <w:top w:val="single" w:sz="6" w:space="0" w:color="000000"/>
              <w:start w:val="single" w:sz="6" w:space="0" w:color="000000"/>
              <w:bottom w:val="single" w:sz="6" w:space="0" w:color="FFFFFF"/>
              <w:end w:val="single" w:sz="6" w:space="0" w:color="000000"/>
            </w:tcBorders>
          </w:tcPr>
          <w:p>
            <w:pPr>
              <w:pStyle w:val="Header"/>
              <w:tabs>
                <w:tab w:val="clear" w:pos="4320"/>
                <w:tab w:val="clear" w:pos="8640"/>
              </w:tabs>
              <w:rPr/>
            </w:pPr>
            <w:r>
              <w:rPr>
                <w:sz w:val="24"/>
              </w:rPr>
              <w:t>LDC Obligation to Interconnect (AI)</w:t>
            </w:r>
            <w:r>
              <w:rPr/>
              <w:t>:</w:t>
            </w:r>
          </w:p>
          <w:p>
            <w:pPr>
              <w:pStyle w:val="Header"/>
              <w:rPr>
                <w:sz w:val="24"/>
              </w:rPr>
            </w:pPr>
            <w:r>
              <w:rPr/>
              <w:t xml:space="preserve">The utility must be allowed to collect revenue to cover its investments. </w:t>
            </w:r>
          </w:p>
        </w:tc>
        <w:tc>
          <w:tcPr>
            <w:tcW w:w="5040" w:type="dxa"/>
            <w:tcBorders>
              <w:top w:val="single" w:sz="6" w:space="0" w:color="000000"/>
              <w:start w:val="single" w:sz="6" w:space="0" w:color="FFFFFF"/>
              <w:bottom w:val="single" w:sz="6" w:space="0" w:color="FFFFFF"/>
              <w:end w:val="single" w:sz="6" w:space="0" w:color="000000"/>
            </w:tcBorders>
          </w:tcPr>
          <w:p>
            <w:pPr>
              <w:pStyle w:val="Header"/>
              <w:numPr>
                <w:ilvl w:val="0"/>
                <w:numId w:val="8"/>
              </w:numPr>
              <w:tabs>
                <w:tab w:val="clear" w:pos="4320"/>
                <w:tab w:val="clear" w:pos="8640"/>
              </w:tabs>
              <w:spacing w:before="60" w:after="60"/>
              <w:jc w:val="both"/>
              <w:rPr>
                <w:color w:val="FF0000"/>
              </w:rPr>
            </w:pPr>
            <w:r>
              <w:rPr>
                <w:color w:val="FF0000"/>
              </w:rPr>
              <w:t>Rules of rolling-in expansion in the distribution system, if undertaken by the distribution company, into the rate base are not clear.  The Regulations only allow for reimbursement from the customers (A. 46 to 53 of Law 93/96)</w:t>
            </w:r>
          </w:p>
          <w:p>
            <w:pPr>
              <w:pStyle w:val="Normal"/>
              <w:rPr>
                <w:color w:val="FF0000"/>
                <w:sz w:val="20"/>
              </w:rPr>
            </w:pPr>
            <w:r>
              <w:rPr>
                <w:color w:val="FF0000"/>
                <w:sz w:val="20"/>
              </w:rPr>
            </w:r>
          </w:p>
        </w:tc>
        <w:tc>
          <w:tcPr>
            <w:tcW w:w="5040" w:type="dxa"/>
            <w:tcBorders>
              <w:top w:val="single" w:sz="6" w:space="0" w:color="000000"/>
              <w:start w:val="single" w:sz="6" w:space="0" w:color="FFFFFF"/>
              <w:bottom w:val="single" w:sz="6" w:space="0" w:color="FFFFFF"/>
              <w:end w:val="single" w:sz="6" w:space="0" w:color="000000"/>
            </w:tcBorders>
          </w:tcPr>
          <w:p>
            <w:pPr>
              <w:pStyle w:val="Normal"/>
              <w:rPr>
                <w:color w:val="FF0000"/>
              </w:rPr>
            </w:pPr>
            <w:r>
              <w:rPr>
                <w:color w:val="FF0000"/>
              </w:rPr>
              <w:t xml:space="preserve">Seek answers to the relevant questions. </w:t>
            </w:r>
          </w:p>
          <w:p>
            <w:pPr>
              <w:pStyle w:val="Normal"/>
              <w:rPr>
                <w:color w:val="FF0000"/>
                <w:sz w:val="20"/>
              </w:rPr>
            </w:pPr>
            <w:r>
              <w:rPr>
                <w:color w:val="FF0000"/>
                <w:sz w:val="20"/>
              </w:rPr>
            </w:r>
          </w:p>
        </w:tc>
        <w:tc>
          <w:tcPr>
            <w:tcW w:w="11160" w:type="dxa"/>
            <w:gridSpan w:val="2"/>
            <w:tcBorders/>
            <w:tcMar>
              <w:start w:w="0" w:type="dxa"/>
              <w:end w:w="0" w:type="dxa"/>
            </w:tcMar>
          </w:tcPr>
          <w:p>
            <w:pPr>
              <w:pStyle w:val="Normal"/>
              <w:snapToGrid w:val="false"/>
              <w:rPr>
                <w:sz w:val="20"/>
              </w:rPr>
            </w:pPr>
            <w:r>
              <w:rPr>
                <w:sz w:val="20"/>
              </w:rPr>
            </w:r>
          </w:p>
        </w:tc>
      </w:tr>
      <w:tr>
        <w:trPr/>
        <w:tc>
          <w:tcPr>
            <w:tcW w:w="4050" w:type="dxa"/>
            <w:tcBorders>
              <w:top w:val="single" w:sz="6" w:space="0" w:color="000000"/>
              <w:start w:val="single" w:sz="6" w:space="0" w:color="000000"/>
              <w:bottom w:val="single" w:sz="6" w:space="0" w:color="FFFFFF"/>
              <w:end w:val="single" w:sz="6" w:space="0" w:color="000000"/>
            </w:tcBorders>
          </w:tcPr>
          <w:p>
            <w:pPr>
              <w:pStyle w:val="Normal"/>
              <w:rPr>
                <w:sz w:val="24"/>
              </w:rPr>
            </w:pPr>
            <w:r>
              <w:rPr>
                <w:sz w:val="24"/>
              </w:rPr>
              <w:t>Unregulated Market (AI)</w:t>
            </w:r>
          </w:p>
        </w:tc>
        <w:tc>
          <w:tcPr>
            <w:tcW w:w="5040" w:type="dxa"/>
            <w:tcBorders>
              <w:top w:val="single" w:sz="6" w:space="0" w:color="000000"/>
              <w:start w:val="single" w:sz="6" w:space="0" w:color="FFFFFF"/>
              <w:bottom w:val="single" w:sz="6" w:space="0" w:color="FFFFFF"/>
              <w:end w:val="single" w:sz="6" w:space="0" w:color="000000"/>
            </w:tcBorders>
          </w:tcPr>
          <w:p>
            <w:pPr>
              <w:pStyle w:val="Normal"/>
              <w:snapToGrid w:val="false"/>
              <w:rPr>
                <w:color w:val="FF0000"/>
                <w:sz w:val="20"/>
              </w:rPr>
            </w:pPr>
            <w:r>
              <w:rPr>
                <w:color w:val="FF0000"/>
                <w:sz w:val="20"/>
              </w:rPr>
            </w:r>
          </w:p>
        </w:tc>
        <w:tc>
          <w:tcPr>
            <w:tcW w:w="5040" w:type="dxa"/>
            <w:tcBorders>
              <w:top w:val="single" w:sz="6" w:space="0" w:color="000000"/>
              <w:start w:val="single" w:sz="6" w:space="0" w:color="FFFFFF"/>
              <w:bottom w:val="single" w:sz="6" w:space="0" w:color="FFFFFF"/>
              <w:end w:val="single" w:sz="6" w:space="0" w:color="000000"/>
            </w:tcBorders>
          </w:tcPr>
          <w:p>
            <w:pPr>
              <w:pStyle w:val="Normal"/>
              <w:snapToGrid w:val="false"/>
              <w:rPr>
                <w:color w:val="FF0000"/>
                <w:sz w:val="20"/>
              </w:rPr>
            </w:pPr>
            <w:r>
              <w:rPr>
                <w:color w:val="FF0000"/>
                <w:sz w:val="20"/>
              </w:rPr>
            </w:r>
          </w:p>
        </w:tc>
        <w:tc>
          <w:tcPr>
            <w:tcW w:w="11160" w:type="dxa"/>
            <w:gridSpan w:val="2"/>
            <w:tcBorders/>
            <w:tcMar>
              <w:start w:w="0" w:type="dxa"/>
              <w:end w:w="0" w:type="dxa"/>
            </w:tcMar>
          </w:tcPr>
          <w:p>
            <w:pPr>
              <w:pStyle w:val="Normal"/>
              <w:snapToGrid w:val="false"/>
              <w:rPr>
                <w:sz w:val="20"/>
              </w:rPr>
            </w:pPr>
            <w:r>
              <w:rPr>
                <w:sz w:val="20"/>
              </w:rPr>
            </w:r>
          </w:p>
        </w:tc>
      </w:tr>
      <w:tr>
        <w:trPr/>
        <w:tc>
          <w:tcPr>
            <w:tcW w:w="4050" w:type="dxa"/>
            <w:tcBorders>
              <w:top w:val="single" w:sz="6" w:space="0" w:color="000000"/>
              <w:start w:val="single" w:sz="6" w:space="0" w:color="000000"/>
              <w:bottom w:val="single" w:sz="6" w:space="0" w:color="FFFFFF"/>
              <w:end w:val="single" w:sz="6" w:space="0" w:color="000000"/>
            </w:tcBorders>
          </w:tcPr>
          <w:p>
            <w:pPr>
              <w:pStyle w:val="Normal"/>
              <w:rPr>
                <w:sz w:val="24"/>
              </w:rPr>
            </w:pPr>
            <w:r>
              <w:rPr>
                <w:sz w:val="24"/>
              </w:rPr>
              <w:t>Cross-Ownership Risks (AI/VM/JA)</w:t>
            </w:r>
          </w:p>
        </w:tc>
        <w:tc>
          <w:tcPr>
            <w:tcW w:w="5040" w:type="dxa"/>
            <w:tcBorders>
              <w:top w:val="single" w:sz="6" w:space="0" w:color="000000"/>
              <w:start w:val="single" w:sz="6" w:space="0" w:color="FFFFFF"/>
              <w:bottom w:val="single" w:sz="6" w:space="0" w:color="FFFFFF"/>
              <w:end w:val="single" w:sz="6" w:space="0" w:color="000000"/>
            </w:tcBorders>
          </w:tcPr>
          <w:p>
            <w:pPr>
              <w:pStyle w:val="FootnoteText"/>
              <w:widowControl w:val="false"/>
              <w:numPr>
                <w:ilvl w:val="0"/>
                <w:numId w:val="11"/>
              </w:numPr>
              <w:spacing w:before="0" w:after="0"/>
              <w:rPr>
                <w:color w:val="FF0000"/>
                <w:sz w:val="24"/>
              </w:rPr>
            </w:pPr>
            <w:r>
              <w:rPr>
                <w:color w:val="FF0000"/>
                <w:sz w:val="24"/>
              </w:rPr>
              <w:t>The demarcation line between ownership and operation of the transmission system is not clear.</w:t>
            </w:r>
          </w:p>
        </w:tc>
        <w:tc>
          <w:tcPr>
            <w:tcW w:w="5040" w:type="dxa"/>
            <w:tcBorders>
              <w:top w:val="single" w:sz="6" w:space="0" w:color="000000"/>
              <w:start w:val="single" w:sz="6" w:space="0" w:color="FFFFFF"/>
              <w:bottom w:val="single" w:sz="6" w:space="0" w:color="FFFFFF"/>
              <w:end w:val="single" w:sz="6" w:space="0" w:color="000000"/>
            </w:tcBorders>
          </w:tcPr>
          <w:p>
            <w:pPr>
              <w:pStyle w:val="Normal"/>
              <w:widowControl w:val="false"/>
              <w:snapToGrid w:val="false"/>
              <w:spacing w:before="0" w:after="0"/>
              <w:rPr>
                <w:color w:val="FF0000"/>
                <w:sz w:val="20"/>
              </w:rPr>
            </w:pPr>
            <w:r>
              <w:rPr>
                <w:color w:val="FF0000"/>
                <w:sz w:val="20"/>
              </w:rPr>
            </w:r>
          </w:p>
        </w:tc>
        <w:tc>
          <w:tcPr>
            <w:tcW w:w="11160" w:type="dxa"/>
            <w:gridSpan w:val="2"/>
            <w:tcBorders/>
            <w:tcMar>
              <w:start w:w="0" w:type="dxa"/>
              <w:end w:w="0" w:type="dxa"/>
            </w:tcMar>
          </w:tcPr>
          <w:p>
            <w:pPr>
              <w:pStyle w:val="Normal"/>
              <w:snapToGrid w:val="false"/>
              <w:rPr>
                <w:sz w:val="20"/>
              </w:rPr>
            </w:pPr>
            <w:r>
              <w:rPr>
                <w:sz w:val="20"/>
              </w:rPr>
            </w:r>
          </w:p>
        </w:tc>
      </w:tr>
      <w:tr>
        <w:trPr/>
        <w:tc>
          <w:tcPr>
            <w:tcW w:w="4050" w:type="dxa"/>
            <w:tcBorders>
              <w:top w:val="single" w:sz="6" w:space="0" w:color="000000"/>
              <w:start w:val="single" w:sz="6" w:space="0" w:color="000000"/>
              <w:bottom w:val="single" w:sz="6" w:space="0" w:color="FFFFFF"/>
              <w:end w:val="single" w:sz="6" w:space="0" w:color="000000"/>
            </w:tcBorders>
          </w:tcPr>
          <w:p>
            <w:pPr>
              <w:pStyle w:val="Normal"/>
              <w:rPr>
                <w:sz w:val="24"/>
              </w:rPr>
            </w:pPr>
            <w:r>
              <w:rPr>
                <w:sz w:val="24"/>
              </w:rPr>
              <w:t>Concession Rights (AI/VM/JA)</w:t>
            </w:r>
          </w:p>
        </w:tc>
        <w:tc>
          <w:tcPr>
            <w:tcW w:w="5040" w:type="dxa"/>
            <w:tcBorders>
              <w:top w:val="single" w:sz="6" w:space="0" w:color="000000"/>
              <w:start w:val="single" w:sz="6" w:space="0" w:color="FFFFFF"/>
              <w:bottom w:val="single" w:sz="6" w:space="0" w:color="FFFFFF"/>
              <w:end w:val="single" w:sz="6" w:space="0" w:color="000000"/>
            </w:tcBorders>
          </w:tcPr>
          <w:p>
            <w:pPr>
              <w:pStyle w:val="Normal"/>
              <w:snapToGrid w:val="false"/>
              <w:rPr>
                <w:color w:val="FF0000"/>
                <w:sz w:val="20"/>
              </w:rPr>
            </w:pPr>
            <w:r>
              <w:rPr>
                <w:color w:val="FF0000"/>
                <w:sz w:val="20"/>
              </w:rPr>
            </w:r>
          </w:p>
        </w:tc>
        <w:tc>
          <w:tcPr>
            <w:tcW w:w="5040" w:type="dxa"/>
            <w:tcBorders>
              <w:top w:val="single" w:sz="6" w:space="0" w:color="000000"/>
              <w:start w:val="single" w:sz="6" w:space="0" w:color="FFFFFF"/>
              <w:bottom w:val="single" w:sz="6" w:space="0" w:color="FFFFFF"/>
              <w:end w:val="single" w:sz="6" w:space="0" w:color="000000"/>
            </w:tcBorders>
          </w:tcPr>
          <w:p>
            <w:pPr>
              <w:pStyle w:val="Normal"/>
              <w:snapToGrid w:val="false"/>
              <w:rPr>
                <w:color w:val="FF0000"/>
                <w:sz w:val="20"/>
              </w:rPr>
            </w:pPr>
            <w:r>
              <w:rPr>
                <w:color w:val="FF0000"/>
                <w:sz w:val="20"/>
              </w:rPr>
            </w:r>
          </w:p>
        </w:tc>
        <w:tc>
          <w:tcPr>
            <w:tcW w:w="11160" w:type="dxa"/>
            <w:gridSpan w:val="2"/>
            <w:tcBorders/>
            <w:tcMar>
              <w:start w:w="0" w:type="dxa"/>
              <w:end w:w="0" w:type="dxa"/>
            </w:tcMar>
          </w:tcPr>
          <w:p>
            <w:pPr>
              <w:pStyle w:val="Normal"/>
              <w:snapToGrid w:val="false"/>
              <w:rPr>
                <w:sz w:val="20"/>
              </w:rPr>
            </w:pPr>
            <w:r>
              <w:rPr>
                <w:sz w:val="20"/>
              </w:rPr>
            </w:r>
          </w:p>
        </w:tc>
      </w:tr>
      <w:tr>
        <w:trPr/>
        <w:tc>
          <w:tcPr>
            <w:tcW w:w="4050" w:type="dxa"/>
            <w:tcBorders>
              <w:top w:val="single" w:sz="6" w:space="0" w:color="000000"/>
              <w:start w:val="single" w:sz="6" w:space="0" w:color="000000"/>
              <w:bottom w:val="single" w:sz="6" w:space="0" w:color="FFFFFF"/>
              <w:end w:val="single" w:sz="6" w:space="0" w:color="000000"/>
            </w:tcBorders>
          </w:tcPr>
          <w:p>
            <w:pPr>
              <w:pStyle w:val="Normal"/>
              <w:rPr>
                <w:u w:val="single"/>
              </w:rPr>
            </w:pPr>
            <w:r>
              <w:rPr>
                <w:rFonts w:cs="Times New Roman"/>
                <w:sz w:val="24"/>
                <w:u w:val="single"/>
              </w:rPr>
              <w:t>Tariff and Tariff Increases (AI)</w:t>
            </w:r>
          </w:p>
          <w:p>
            <w:pPr>
              <w:pStyle w:val="Normal"/>
              <w:rPr>
                <w:rFonts w:ascii="Times New Roman" w:hAnsi="Times New Roman" w:cs="Times New Roman"/>
                <w:b/>
                <w:sz w:val="24"/>
                <w:u w:val="single"/>
              </w:rPr>
            </w:pPr>
            <w:r>
              <w:rPr/>
              <w:t xml:space="preserve">Establishment of tariffs permitting recovery of actual costs and adequate return on equity. </w:t>
            </w:r>
          </w:p>
        </w:tc>
        <w:tc>
          <w:tcPr>
            <w:tcW w:w="5040" w:type="dxa"/>
            <w:tcBorders>
              <w:top w:val="single" w:sz="6" w:space="0" w:color="000000"/>
              <w:start w:val="single" w:sz="6" w:space="0" w:color="FFFFFF"/>
              <w:bottom w:val="single" w:sz="6" w:space="0" w:color="FFFFFF"/>
              <w:end w:val="single" w:sz="6" w:space="0" w:color="000000"/>
            </w:tcBorders>
          </w:tcPr>
          <w:p>
            <w:pPr>
              <w:pStyle w:val="Normal"/>
              <w:numPr>
                <w:ilvl w:val="0"/>
                <w:numId w:val="9"/>
              </w:numPr>
              <w:tabs>
                <w:tab w:val="clear" w:pos="720"/>
                <w:tab w:val="left" w:pos="514" w:leader="none"/>
              </w:tabs>
              <w:rPr>
                <w:color w:val="FF0000"/>
              </w:rPr>
            </w:pPr>
            <w:r>
              <w:rPr>
                <w:color w:val="FF0000"/>
              </w:rPr>
              <w:t>Rules for incorporating foreign exchange risks are not clear.</w:t>
            </w:r>
          </w:p>
          <w:p>
            <w:pPr>
              <w:pStyle w:val="Normal"/>
              <w:numPr>
                <w:ilvl w:val="0"/>
                <w:numId w:val="9"/>
              </w:numPr>
              <w:tabs>
                <w:tab w:val="clear" w:pos="720"/>
                <w:tab w:val="left" w:pos="514" w:leader="none"/>
              </w:tabs>
              <w:rPr>
                <w:color w:val="FF0000"/>
              </w:rPr>
            </w:pPr>
            <w:r>
              <w:rPr>
                <w:color w:val="FF0000"/>
              </w:rPr>
              <w:t xml:space="preserve">Rules for accounting for efficiency gains referenced in A. 93 of the Regulations are not clear.   </w:t>
            </w:r>
          </w:p>
          <w:p>
            <w:pPr>
              <w:pStyle w:val="Normal"/>
              <w:numPr>
                <w:ilvl w:val="0"/>
                <w:numId w:val="9"/>
              </w:numPr>
              <w:tabs>
                <w:tab w:val="clear" w:pos="720"/>
                <w:tab w:val="left" w:pos="514" w:leader="none"/>
              </w:tabs>
              <w:rPr>
                <w:color w:val="FF0000"/>
                <w:sz w:val="20"/>
              </w:rPr>
            </w:pPr>
            <w:r>
              <w:rPr>
                <w:color w:val="FF0000"/>
              </w:rPr>
              <w:t>Can the UDC re-adjust the rate methodology during the period of validity (A. 78) or is this an exclusive right to CNEE.   What are the conditions to trigger the re-adjustment mechanism</w:t>
            </w:r>
            <w:r>
              <w:rPr>
                <w:color w:val="FF0000"/>
                <w:sz w:val="20"/>
              </w:rPr>
              <w:t xml:space="preserve">. </w:t>
            </w:r>
          </w:p>
          <w:p>
            <w:pPr>
              <w:pStyle w:val="Normal"/>
              <w:numPr>
                <w:ilvl w:val="0"/>
                <w:numId w:val="9"/>
              </w:numPr>
              <w:tabs>
                <w:tab w:val="clear" w:pos="720"/>
                <w:tab w:val="left" w:pos="514" w:leader="none"/>
              </w:tabs>
              <w:rPr>
                <w:color w:val="FF0000"/>
                <w:sz w:val="24"/>
              </w:rPr>
            </w:pPr>
            <w:r>
              <w:rPr>
                <w:color w:val="FF0000"/>
              </w:rPr>
              <w:t xml:space="preserve">The bidding process to acquire energy and capacity purported in A. 62 of 93/96 is not clear. </w:t>
            </w:r>
          </w:p>
        </w:tc>
        <w:tc>
          <w:tcPr>
            <w:tcW w:w="5040" w:type="dxa"/>
            <w:tcBorders>
              <w:top w:val="single" w:sz="6" w:space="0" w:color="000000"/>
              <w:start w:val="single" w:sz="6" w:space="0" w:color="FFFFFF"/>
              <w:bottom w:val="single" w:sz="6" w:space="0" w:color="FFFFFF"/>
              <w:end w:val="single" w:sz="6" w:space="0" w:color="000000"/>
            </w:tcBorders>
          </w:tcPr>
          <w:p>
            <w:pPr>
              <w:pStyle w:val="Normal"/>
              <w:tabs>
                <w:tab w:val="clear" w:pos="720"/>
                <w:tab w:val="left" w:pos="514" w:leader="none"/>
              </w:tabs>
              <w:rPr>
                <w:sz w:val="20"/>
              </w:rPr>
            </w:pPr>
            <w:r>
              <w:rPr>
                <w:color w:val="FF0000"/>
              </w:rPr>
              <w:t>Seek answers to the relevant questions.</w:t>
            </w:r>
          </w:p>
        </w:tc>
        <w:tc>
          <w:tcPr>
            <w:tcW w:w="11160" w:type="dxa"/>
            <w:gridSpan w:val="2"/>
            <w:tcBorders/>
            <w:tcMar>
              <w:start w:w="0" w:type="dxa"/>
              <w:end w:w="0" w:type="dxa"/>
            </w:tcMar>
          </w:tcPr>
          <w:p>
            <w:pPr>
              <w:pStyle w:val="Normal"/>
              <w:snapToGrid w:val="false"/>
              <w:rPr>
                <w:sz w:val="20"/>
              </w:rPr>
            </w:pPr>
            <w:r>
              <w:rPr>
                <w:sz w:val="20"/>
              </w:rPr>
            </w:r>
          </w:p>
        </w:tc>
      </w:tr>
      <w:tr>
        <w:trPr/>
        <w:tc>
          <w:tcPr>
            <w:tcW w:w="4050" w:type="dxa"/>
            <w:tcBorders>
              <w:top w:val="single" w:sz="6" w:space="0" w:color="000000"/>
              <w:start w:val="single" w:sz="6" w:space="0" w:color="000000"/>
              <w:bottom w:val="single" w:sz="6" w:space="0" w:color="FFFFFF"/>
              <w:end w:val="single" w:sz="6" w:space="0" w:color="000000"/>
            </w:tcBorders>
          </w:tcPr>
          <w:p>
            <w:pPr>
              <w:pStyle w:val="Normal"/>
              <w:tabs>
                <w:tab w:val="clear" w:pos="720"/>
                <w:tab w:val="left" w:pos="514" w:leader="none"/>
              </w:tabs>
              <w:rPr>
                <w:sz w:val="20"/>
              </w:rPr>
            </w:pPr>
            <w:r>
              <w:rPr>
                <w:b/>
                <w:u w:val="single"/>
              </w:rPr>
              <w:t>Part 3:  System Risk (TD/DJ)</w:t>
            </w:r>
          </w:p>
        </w:tc>
        <w:tc>
          <w:tcPr>
            <w:tcW w:w="5040" w:type="dxa"/>
            <w:tcBorders>
              <w:top w:val="single" w:sz="6" w:space="0" w:color="000000"/>
              <w:start w:val="single" w:sz="6" w:space="0" w:color="FFFFFF"/>
              <w:bottom w:val="single" w:sz="6" w:space="0" w:color="FFFFFF"/>
              <w:end w:val="single" w:sz="6" w:space="0" w:color="000000"/>
            </w:tcBorders>
          </w:tcPr>
          <w:p>
            <w:pPr>
              <w:pStyle w:val="Normal"/>
              <w:snapToGrid w:val="false"/>
              <w:rPr>
                <w:sz w:val="20"/>
              </w:rPr>
            </w:pPr>
            <w:r>
              <w:rPr>
                <w:sz w:val="20"/>
              </w:rPr>
            </w:r>
          </w:p>
        </w:tc>
        <w:tc>
          <w:tcPr>
            <w:tcW w:w="5040" w:type="dxa"/>
            <w:tcBorders>
              <w:top w:val="single" w:sz="6" w:space="0" w:color="000000"/>
              <w:start w:val="single" w:sz="6" w:space="0" w:color="FFFFFF"/>
              <w:bottom w:val="single" w:sz="6" w:space="0" w:color="FFFFFF"/>
              <w:end w:val="single" w:sz="6" w:space="0" w:color="000000"/>
            </w:tcBorders>
          </w:tcPr>
          <w:p>
            <w:pPr>
              <w:pStyle w:val="Normal"/>
              <w:snapToGrid w:val="false"/>
              <w:rPr>
                <w:sz w:val="20"/>
              </w:rPr>
            </w:pPr>
            <w:r>
              <w:rPr>
                <w:sz w:val="20"/>
              </w:rPr>
            </w:r>
          </w:p>
        </w:tc>
        <w:tc>
          <w:tcPr>
            <w:tcW w:w="11160" w:type="dxa"/>
            <w:gridSpan w:val="2"/>
            <w:tcBorders/>
            <w:tcMar>
              <w:start w:w="0" w:type="dxa"/>
              <w:end w:w="0" w:type="dxa"/>
            </w:tcMar>
          </w:tcPr>
          <w:p>
            <w:pPr>
              <w:pStyle w:val="Normal"/>
              <w:snapToGrid w:val="false"/>
              <w:rPr>
                <w:sz w:val="20"/>
              </w:rPr>
            </w:pPr>
            <w:r>
              <w:rPr>
                <w:sz w:val="20"/>
              </w:rPr>
            </w:r>
          </w:p>
        </w:tc>
      </w:tr>
      <w:tr>
        <w:trPr/>
        <w:tc>
          <w:tcPr>
            <w:tcW w:w="4050" w:type="dxa"/>
            <w:tcBorders>
              <w:top w:val="single" w:sz="6" w:space="0" w:color="000000"/>
              <w:start w:val="single" w:sz="6" w:space="0" w:color="000000"/>
              <w:bottom w:val="single" w:sz="6" w:space="0" w:color="FFFFFF"/>
              <w:end w:val="single" w:sz="6" w:space="0" w:color="000000"/>
            </w:tcBorders>
          </w:tcPr>
          <w:p>
            <w:pPr>
              <w:pStyle w:val="Normal"/>
              <w:rPr>
                <w:sz w:val="20"/>
              </w:rPr>
            </w:pPr>
            <w:r>
              <w:rPr>
                <w:sz w:val="20"/>
              </w:rPr>
              <w:t>Reliability of System (TD/DJ)</w:t>
            </w:r>
          </w:p>
        </w:tc>
        <w:tc>
          <w:tcPr>
            <w:tcW w:w="5040" w:type="dxa"/>
            <w:tcBorders>
              <w:top w:val="single" w:sz="6" w:space="0" w:color="000000"/>
              <w:start w:val="single" w:sz="6" w:space="0" w:color="FFFFFF"/>
              <w:bottom w:val="single" w:sz="6" w:space="0" w:color="FFFFFF"/>
              <w:end w:val="single" w:sz="6" w:space="0" w:color="000000"/>
            </w:tcBorders>
          </w:tcPr>
          <w:p>
            <w:pPr>
              <w:pStyle w:val="Normal"/>
              <w:snapToGrid w:val="false"/>
              <w:rPr>
                <w:sz w:val="20"/>
              </w:rPr>
            </w:pPr>
            <w:r>
              <w:rPr>
                <w:sz w:val="20"/>
              </w:rPr>
            </w:r>
          </w:p>
        </w:tc>
        <w:tc>
          <w:tcPr>
            <w:tcW w:w="5040" w:type="dxa"/>
            <w:tcBorders>
              <w:top w:val="single" w:sz="6" w:space="0" w:color="000000"/>
              <w:start w:val="single" w:sz="6" w:space="0" w:color="FFFFFF"/>
              <w:bottom w:val="single" w:sz="6" w:space="0" w:color="FFFFFF"/>
              <w:end w:val="single" w:sz="6" w:space="0" w:color="000000"/>
            </w:tcBorders>
          </w:tcPr>
          <w:p>
            <w:pPr>
              <w:pStyle w:val="Normal"/>
              <w:snapToGrid w:val="false"/>
              <w:rPr>
                <w:sz w:val="20"/>
              </w:rPr>
            </w:pPr>
            <w:r>
              <w:rPr>
                <w:sz w:val="20"/>
              </w:rPr>
            </w:r>
          </w:p>
        </w:tc>
        <w:tc>
          <w:tcPr>
            <w:tcW w:w="11160" w:type="dxa"/>
            <w:gridSpan w:val="2"/>
            <w:tcBorders/>
            <w:tcMar>
              <w:start w:w="0" w:type="dxa"/>
              <w:end w:w="0" w:type="dxa"/>
            </w:tcMar>
          </w:tcPr>
          <w:p>
            <w:pPr>
              <w:pStyle w:val="Normal"/>
              <w:snapToGrid w:val="false"/>
              <w:rPr>
                <w:sz w:val="20"/>
              </w:rPr>
            </w:pPr>
            <w:r>
              <w:rPr>
                <w:sz w:val="20"/>
              </w:rPr>
            </w:r>
          </w:p>
        </w:tc>
      </w:tr>
      <w:tr>
        <w:trPr/>
        <w:tc>
          <w:tcPr>
            <w:tcW w:w="4050" w:type="dxa"/>
            <w:tcBorders>
              <w:top w:val="single" w:sz="6" w:space="0" w:color="000000"/>
              <w:start w:val="single" w:sz="6" w:space="0" w:color="000000"/>
              <w:bottom w:val="single" w:sz="6" w:space="0" w:color="FFFFFF"/>
              <w:end w:val="single" w:sz="6" w:space="0" w:color="000000"/>
            </w:tcBorders>
          </w:tcPr>
          <w:p>
            <w:pPr>
              <w:pStyle w:val="Normal"/>
              <w:rPr>
                <w:sz w:val="20"/>
              </w:rPr>
            </w:pPr>
            <w:r>
              <w:rPr>
                <w:sz w:val="20"/>
              </w:rPr>
              <w:t>Competition in Customer Base (TD/DJ)</w:t>
            </w:r>
          </w:p>
        </w:tc>
        <w:tc>
          <w:tcPr>
            <w:tcW w:w="5040" w:type="dxa"/>
            <w:tcBorders>
              <w:top w:val="single" w:sz="6" w:space="0" w:color="000000"/>
              <w:start w:val="single" w:sz="6" w:space="0" w:color="FFFFFF"/>
              <w:bottom w:val="single" w:sz="6" w:space="0" w:color="FFFFFF"/>
              <w:end w:val="single" w:sz="6" w:space="0" w:color="000000"/>
            </w:tcBorders>
          </w:tcPr>
          <w:p>
            <w:pPr>
              <w:pStyle w:val="Normal"/>
              <w:tabs>
                <w:tab w:val="clear" w:pos="720"/>
                <w:tab w:val="left" w:pos="514" w:leader="none"/>
              </w:tabs>
              <w:snapToGrid w:val="false"/>
              <w:rPr>
                <w:sz w:val="20"/>
              </w:rPr>
            </w:pPr>
            <w:r>
              <w:rPr>
                <w:sz w:val="20"/>
              </w:rPr>
            </w:r>
          </w:p>
        </w:tc>
        <w:tc>
          <w:tcPr>
            <w:tcW w:w="5040" w:type="dxa"/>
            <w:tcBorders>
              <w:top w:val="single" w:sz="6" w:space="0" w:color="000000"/>
              <w:start w:val="single" w:sz="6" w:space="0" w:color="FFFFFF"/>
              <w:bottom w:val="single" w:sz="6" w:space="0" w:color="FFFFFF"/>
              <w:end w:val="single" w:sz="6" w:space="0" w:color="000000"/>
            </w:tcBorders>
          </w:tcPr>
          <w:p>
            <w:pPr>
              <w:pStyle w:val="Normal"/>
              <w:tabs>
                <w:tab w:val="clear" w:pos="720"/>
                <w:tab w:val="left" w:pos="514" w:leader="none"/>
              </w:tabs>
              <w:snapToGrid w:val="false"/>
              <w:rPr>
                <w:sz w:val="20"/>
              </w:rPr>
            </w:pPr>
            <w:r>
              <w:rPr>
                <w:sz w:val="20"/>
              </w:rPr>
            </w:r>
          </w:p>
        </w:tc>
        <w:tc>
          <w:tcPr>
            <w:tcW w:w="11160" w:type="dxa"/>
            <w:gridSpan w:val="2"/>
            <w:tcBorders/>
            <w:tcMar>
              <w:start w:w="0" w:type="dxa"/>
              <w:end w:w="0" w:type="dxa"/>
            </w:tcMar>
          </w:tcPr>
          <w:p>
            <w:pPr>
              <w:pStyle w:val="Normal"/>
              <w:snapToGrid w:val="false"/>
              <w:rPr>
                <w:sz w:val="20"/>
              </w:rPr>
            </w:pPr>
            <w:r>
              <w:rPr>
                <w:sz w:val="20"/>
              </w:rPr>
            </w:r>
          </w:p>
        </w:tc>
      </w:tr>
      <w:tr>
        <w:trPr/>
        <w:tc>
          <w:tcPr>
            <w:tcW w:w="4050" w:type="dxa"/>
            <w:tcBorders>
              <w:top w:val="single" w:sz="6" w:space="0" w:color="000000"/>
              <w:start w:val="single" w:sz="6" w:space="0" w:color="000000"/>
              <w:bottom w:val="single" w:sz="6" w:space="0" w:color="FFFFFF"/>
              <w:end w:val="single" w:sz="6" w:space="0" w:color="000000"/>
            </w:tcBorders>
          </w:tcPr>
          <w:p>
            <w:pPr>
              <w:pStyle w:val="Normal"/>
              <w:tabs>
                <w:tab w:val="clear" w:pos="720"/>
                <w:tab w:val="left" w:pos="514" w:leader="none"/>
              </w:tabs>
              <w:rPr>
                <w:sz w:val="20"/>
              </w:rPr>
            </w:pPr>
            <w:r>
              <w:rPr>
                <w:sz w:val="20"/>
              </w:rPr>
              <w:t>Reliability of Transmission Sys (TD/DJ)</w:t>
            </w:r>
          </w:p>
        </w:tc>
        <w:tc>
          <w:tcPr>
            <w:tcW w:w="5040" w:type="dxa"/>
            <w:tcBorders>
              <w:top w:val="single" w:sz="6" w:space="0" w:color="000000"/>
              <w:start w:val="single" w:sz="6" w:space="0" w:color="FFFFFF"/>
              <w:bottom w:val="single" w:sz="6" w:space="0" w:color="FFFFFF"/>
              <w:end w:val="single" w:sz="6" w:space="0" w:color="000000"/>
            </w:tcBorders>
          </w:tcPr>
          <w:p>
            <w:pPr>
              <w:pStyle w:val="Normal"/>
              <w:tabs>
                <w:tab w:val="clear" w:pos="720"/>
                <w:tab w:val="left" w:pos="514" w:leader="none"/>
              </w:tabs>
              <w:snapToGrid w:val="false"/>
              <w:rPr>
                <w:sz w:val="20"/>
              </w:rPr>
            </w:pPr>
            <w:r>
              <w:rPr>
                <w:sz w:val="20"/>
              </w:rPr>
            </w:r>
          </w:p>
        </w:tc>
        <w:tc>
          <w:tcPr>
            <w:tcW w:w="5040" w:type="dxa"/>
            <w:tcBorders>
              <w:top w:val="single" w:sz="6" w:space="0" w:color="000000"/>
              <w:start w:val="single" w:sz="6" w:space="0" w:color="FFFFFF"/>
              <w:bottom w:val="single" w:sz="6" w:space="0" w:color="FFFFFF"/>
              <w:end w:val="single" w:sz="6" w:space="0" w:color="000000"/>
            </w:tcBorders>
          </w:tcPr>
          <w:p>
            <w:pPr>
              <w:pStyle w:val="Normal"/>
              <w:tabs>
                <w:tab w:val="clear" w:pos="720"/>
                <w:tab w:val="left" w:pos="514" w:leader="none"/>
              </w:tabs>
              <w:snapToGrid w:val="false"/>
              <w:rPr>
                <w:sz w:val="20"/>
              </w:rPr>
            </w:pPr>
            <w:r>
              <w:rPr>
                <w:sz w:val="20"/>
              </w:rPr>
            </w:r>
          </w:p>
        </w:tc>
        <w:tc>
          <w:tcPr>
            <w:tcW w:w="11160" w:type="dxa"/>
            <w:gridSpan w:val="2"/>
            <w:tcBorders/>
            <w:tcMar>
              <w:start w:w="0" w:type="dxa"/>
              <w:end w:w="0" w:type="dxa"/>
            </w:tcMar>
          </w:tcPr>
          <w:p>
            <w:pPr>
              <w:pStyle w:val="Normal"/>
              <w:snapToGrid w:val="false"/>
              <w:rPr>
                <w:sz w:val="20"/>
              </w:rPr>
            </w:pPr>
            <w:r>
              <w:rPr>
                <w:sz w:val="20"/>
              </w:rPr>
            </w:r>
          </w:p>
        </w:tc>
      </w:tr>
      <w:tr>
        <w:trPr/>
        <w:tc>
          <w:tcPr>
            <w:tcW w:w="4050" w:type="dxa"/>
            <w:tcBorders>
              <w:top w:val="single" w:sz="6" w:space="0" w:color="000000"/>
              <w:start w:val="single" w:sz="6" w:space="0" w:color="000000"/>
              <w:end w:val="single" w:sz="6" w:space="0" w:color="000000"/>
            </w:tcBorders>
          </w:tcPr>
          <w:p>
            <w:pPr>
              <w:pStyle w:val="Normal"/>
              <w:rPr>
                <w:b/>
                <w:u w:val="single"/>
              </w:rPr>
            </w:pPr>
            <w:r>
              <w:rPr>
                <w:sz w:val="20"/>
              </w:rPr>
              <w:t>Reliability of Supply (TD/DJ)</w:t>
            </w:r>
          </w:p>
        </w:tc>
        <w:tc>
          <w:tcPr>
            <w:tcW w:w="5040" w:type="dxa"/>
            <w:tcBorders>
              <w:top w:val="single" w:sz="6" w:space="0" w:color="000000"/>
              <w:start w:val="single" w:sz="6" w:space="0" w:color="FFFFFF"/>
              <w:end w:val="single" w:sz="6" w:space="0" w:color="000000"/>
            </w:tcBorders>
          </w:tcPr>
          <w:p>
            <w:pPr>
              <w:pStyle w:val="Normal"/>
              <w:tabs>
                <w:tab w:val="clear" w:pos="720"/>
                <w:tab w:val="left" w:pos="514" w:leader="none"/>
              </w:tabs>
              <w:snapToGrid w:val="false"/>
              <w:rPr>
                <w:b/>
                <w:sz w:val="20"/>
                <w:u w:val="single"/>
              </w:rPr>
            </w:pPr>
            <w:r>
              <w:rPr>
                <w:b/>
                <w:sz w:val="20"/>
                <w:u w:val="single"/>
              </w:rPr>
            </w:r>
          </w:p>
        </w:tc>
        <w:tc>
          <w:tcPr>
            <w:tcW w:w="5040" w:type="dxa"/>
            <w:tcBorders>
              <w:top w:val="single" w:sz="6" w:space="0" w:color="000000"/>
              <w:start w:val="single" w:sz="6" w:space="0" w:color="FFFFFF"/>
              <w:end w:val="single" w:sz="6" w:space="0" w:color="000000"/>
            </w:tcBorders>
          </w:tcPr>
          <w:p>
            <w:pPr>
              <w:pStyle w:val="Normal"/>
              <w:tabs>
                <w:tab w:val="clear" w:pos="720"/>
                <w:tab w:val="left" w:pos="514" w:leader="none"/>
              </w:tabs>
              <w:snapToGrid w:val="false"/>
              <w:rPr>
                <w:sz w:val="20"/>
              </w:rPr>
            </w:pPr>
            <w:r>
              <w:rPr>
                <w:sz w:val="20"/>
              </w:rPr>
            </w:r>
          </w:p>
        </w:tc>
        <w:tc>
          <w:tcPr>
            <w:tcW w:w="11160" w:type="dxa"/>
            <w:gridSpan w:val="2"/>
            <w:tcBorders/>
            <w:tcMar>
              <w:start w:w="0" w:type="dxa"/>
              <w:end w:w="0" w:type="dxa"/>
            </w:tcMar>
          </w:tcPr>
          <w:p>
            <w:pPr>
              <w:pStyle w:val="Normal"/>
              <w:snapToGrid w:val="false"/>
              <w:rPr>
                <w:sz w:val="20"/>
              </w:rPr>
            </w:pPr>
            <w:r>
              <w:rPr>
                <w:sz w:val="20"/>
              </w:rPr>
            </w:r>
          </w:p>
        </w:tc>
      </w:tr>
      <w:tr>
        <w:trPr/>
        <w:tc>
          <w:tcPr>
            <w:tcW w:w="4050" w:type="dxa"/>
            <w:tcBorders>
              <w:top w:val="single" w:sz="2" w:space="0" w:color="000000"/>
              <w:start w:val="single" w:sz="2" w:space="0" w:color="000000"/>
              <w:bottom w:val="single" w:sz="2" w:space="0" w:color="000000"/>
              <w:end w:val="single" w:sz="2" w:space="0" w:color="000000"/>
            </w:tcBorders>
          </w:tcPr>
          <w:p>
            <w:pPr>
              <w:pStyle w:val="Heading3"/>
              <w:tabs>
                <w:tab w:val="clear" w:pos="720"/>
                <w:tab w:val="left" w:pos="514" w:leader="none"/>
              </w:tabs>
              <w:spacing w:lineRule="auto" w:line="240"/>
              <w:ind w:hanging="0" w:start="0"/>
              <w:rPr>
                <w:sz w:val="20"/>
                <w:u w:val="none"/>
              </w:rPr>
            </w:pPr>
            <w:r>
              <w:rPr/>
              <w:t>Part 4:  Physical Assets (DJ/TD)</w:t>
            </w:r>
          </w:p>
        </w:tc>
        <w:tc>
          <w:tcPr>
            <w:tcW w:w="5040" w:type="dxa"/>
            <w:tcBorders>
              <w:top w:val="single" w:sz="2" w:space="0" w:color="000000"/>
              <w:start w:val="single" w:sz="2" w:space="0" w:color="000000"/>
              <w:bottom w:val="single" w:sz="2" w:space="0" w:color="000000"/>
              <w:end w:val="single" w:sz="2" w:space="0" w:color="000000"/>
            </w:tcBorders>
          </w:tcPr>
          <w:p>
            <w:pPr>
              <w:pStyle w:val="Normal"/>
              <w:tabs>
                <w:tab w:val="clear" w:pos="720"/>
                <w:tab w:val="left" w:pos="514" w:leader="none"/>
              </w:tabs>
              <w:snapToGrid w:val="false"/>
              <w:rPr>
                <w:sz w:val="20"/>
                <w:u w:val="none"/>
              </w:rPr>
            </w:pPr>
            <w:r>
              <w:rPr>
                <w:sz w:val="20"/>
                <w:u w:val="none"/>
              </w:rPr>
            </w:r>
          </w:p>
        </w:tc>
        <w:tc>
          <w:tcPr>
            <w:tcW w:w="5040" w:type="dxa"/>
            <w:tcBorders>
              <w:top w:val="single" w:sz="2" w:space="0" w:color="000000"/>
              <w:start w:val="single" w:sz="2" w:space="0" w:color="000000"/>
              <w:bottom w:val="single" w:sz="2" w:space="0" w:color="000000"/>
              <w:end w:val="single" w:sz="2" w:space="0" w:color="000000"/>
            </w:tcBorders>
          </w:tcPr>
          <w:p>
            <w:pPr>
              <w:pStyle w:val="Normal"/>
              <w:tabs>
                <w:tab w:val="clear" w:pos="720"/>
                <w:tab w:val="left" w:pos="514" w:leader="none"/>
              </w:tabs>
              <w:snapToGrid w:val="false"/>
              <w:rPr>
                <w:sz w:val="20"/>
              </w:rPr>
            </w:pPr>
            <w:r>
              <w:rPr>
                <w:sz w:val="20"/>
              </w:rPr>
            </w:r>
          </w:p>
        </w:tc>
        <w:tc>
          <w:tcPr>
            <w:tcW w:w="11160" w:type="dxa"/>
            <w:gridSpan w:val="2"/>
            <w:tcBorders/>
            <w:tcMar>
              <w:start w:w="0" w:type="dxa"/>
              <w:end w:w="0" w:type="dxa"/>
            </w:tcMar>
          </w:tcPr>
          <w:p>
            <w:pPr>
              <w:pStyle w:val="Normal"/>
              <w:snapToGrid w:val="false"/>
              <w:rPr>
                <w:sz w:val="20"/>
              </w:rPr>
            </w:pPr>
            <w:r>
              <w:rPr>
                <w:sz w:val="20"/>
              </w:rPr>
            </w:r>
          </w:p>
        </w:tc>
      </w:tr>
      <w:tr>
        <w:trPr/>
        <w:tc>
          <w:tcPr>
            <w:tcW w:w="4050" w:type="dxa"/>
            <w:tcBorders>
              <w:start w:val="single" w:sz="6" w:space="0" w:color="000000"/>
              <w:bottom w:val="single" w:sz="6" w:space="0" w:color="FFFFFF"/>
              <w:end w:val="single" w:sz="6" w:space="0" w:color="000000"/>
            </w:tcBorders>
          </w:tcPr>
          <w:p>
            <w:pPr>
              <w:pStyle w:val="Heading3"/>
              <w:tabs>
                <w:tab w:val="clear" w:pos="720"/>
                <w:tab w:val="left" w:pos="514" w:leader="none"/>
              </w:tabs>
              <w:spacing w:lineRule="auto" w:line="240"/>
              <w:ind w:hanging="0" w:start="0"/>
              <w:rPr>
                <w:b w:val="false"/>
                <w:sz w:val="20"/>
                <w:u w:val="none"/>
              </w:rPr>
            </w:pPr>
            <w:r>
              <w:rPr>
                <w:b w:val="false"/>
                <w:sz w:val="20"/>
                <w:u w:val="none"/>
              </w:rPr>
              <w:t>Line Loss Reductions (TD/DJ)</w:t>
            </w:r>
          </w:p>
        </w:tc>
        <w:tc>
          <w:tcPr>
            <w:tcW w:w="5040" w:type="dxa"/>
            <w:tcBorders>
              <w:start w:val="single" w:sz="6" w:space="0" w:color="FFFFFF"/>
              <w:bottom w:val="single" w:sz="6" w:space="0" w:color="FFFFFF"/>
              <w:end w:val="single" w:sz="6" w:space="0" w:color="000000"/>
            </w:tcBorders>
          </w:tcPr>
          <w:p>
            <w:pPr>
              <w:pStyle w:val="Normal"/>
              <w:tabs>
                <w:tab w:val="clear" w:pos="720"/>
                <w:tab w:val="left" w:pos="514" w:leader="none"/>
              </w:tabs>
              <w:snapToGrid w:val="false"/>
              <w:rPr>
                <w:b w:val="false"/>
                <w:sz w:val="20"/>
                <w:u w:val="none"/>
              </w:rPr>
            </w:pPr>
            <w:r>
              <w:rPr>
                <w:b w:val="false"/>
                <w:sz w:val="20"/>
                <w:u w:val="none"/>
              </w:rPr>
            </w:r>
          </w:p>
        </w:tc>
        <w:tc>
          <w:tcPr>
            <w:tcW w:w="5040" w:type="dxa"/>
            <w:tcBorders>
              <w:start w:val="single" w:sz="6" w:space="0" w:color="FFFFFF"/>
              <w:bottom w:val="single" w:sz="6" w:space="0" w:color="FFFFFF"/>
              <w:end w:val="single" w:sz="6" w:space="0" w:color="000000"/>
            </w:tcBorders>
          </w:tcPr>
          <w:p>
            <w:pPr>
              <w:pStyle w:val="Normal"/>
              <w:tabs>
                <w:tab w:val="clear" w:pos="720"/>
                <w:tab w:val="left" w:pos="514" w:leader="none"/>
              </w:tabs>
              <w:snapToGrid w:val="false"/>
              <w:rPr>
                <w:sz w:val="20"/>
              </w:rPr>
            </w:pPr>
            <w:r>
              <w:rPr>
                <w:sz w:val="20"/>
              </w:rPr>
            </w:r>
          </w:p>
        </w:tc>
        <w:tc>
          <w:tcPr>
            <w:tcW w:w="11160" w:type="dxa"/>
            <w:gridSpan w:val="2"/>
            <w:tcBorders/>
            <w:tcMar>
              <w:start w:w="0" w:type="dxa"/>
              <w:end w:w="0" w:type="dxa"/>
            </w:tcMar>
          </w:tcPr>
          <w:p>
            <w:pPr>
              <w:pStyle w:val="Normal"/>
              <w:snapToGrid w:val="false"/>
              <w:rPr>
                <w:sz w:val="20"/>
              </w:rPr>
            </w:pPr>
            <w:r>
              <w:rPr>
                <w:sz w:val="20"/>
              </w:rPr>
            </w:r>
          </w:p>
        </w:tc>
      </w:tr>
      <w:tr>
        <w:trPr/>
        <w:tc>
          <w:tcPr>
            <w:tcW w:w="4050" w:type="dxa"/>
            <w:tcBorders>
              <w:top w:val="single" w:sz="6" w:space="0" w:color="000000"/>
              <w:start w:val="single" w:sz="6" w:space="0" w:color="000000"/>
              <w:bottom w:val="single" w:sz="6" w:space="0" w:color="FFFFFF"/>
              <w:end w:val="single" w:sz="6" w:space="0" w:color="000000"/>
            </w:tcBorders>
          </w:tcPr>
          <w:p>
            <w:pPr>
              <w:pStyle w:val="Heading3"/>
              <w:tabs>
                <w:tab w:val="clear" w:pos="720"/>
                <w:tab w:val="left" w:pos="514" w:leader="none"/>
              </w:tabs>
              <w:spacing w:lineRule="auto" w:line="240"/>
              <w:ind w:hanging="0" w:start="0"/>
              <w:rPr>
                <w:b w:val="false"/>
                <w:sz w:val="20"/>
                <w:u w:val="none"/>
              </w:rPr>
            </w:pPr>
            <w:r>
              <w:rPr>
                <w:b w:val="false"/>
                <w:sz w:val="20"/>
                <w:u w:val="none"/>
              </w:rPr>
              <w:t>Real Estate/Land/ROW’s (TD/DJ/JA)</w:t>
            </w:r>
          </w:p>
        </w:tc>
        <w:tc>
          <w:tcPr>
            <w:tcW w:w="5040" w:type="dxa"/>
            <w:tcBorders>
              <w:top w:val="single" w:sz="6" w:space="0" w:color="000000"/>
              <w:start w:val="single" w:sz="6" w:space="0" w:color="FFFFFF"/>
              <w:bottom w:val="single" w:sz="6" w:space="0" w:color="FFFFFF"/>
              <w:end w:val="single" w:sz="6" w:space="0" w:color="000000"/>
            </w:tcBorders>
          </w:tcPr>
          <w:p>
            <w:pPr>
              <w:pStyle w:val="Normal"/>
              <w:tabs>
                <w:tab w:val="clear" w:pos="720"/>
                <w:tab w:val="left" w:pos="514" w:leader="none"/>
              </w:tabs>
              <w:snapToGrid w:val="false"/>
              <w:rPr>
                <w:b w:val="false"/>
                <w:sz w:val="20"/>
                <w:u w:val="none"/>
              </w:rPr>
            </w:pPr>
            <w:r>
              <w:rPr>
                <w:b w:val="false"/>
                <w:sz w:val="20"/>
                <w:u w:val="none"/>
              </w:rPr>
            </w:r>
          </w:p>
        </w:tc>
        <w:tc>
          <w:tcPr>
            <w:tcW w:w="5040" w:type="dxa"/>
            <w:tcBorders>
              <w:top w:val="single" w:sz="6" w:space="0" w:color="000000"/>
              <w:start w:val="single" w:sz="6" w:space="0" w:color="FFFFFF"/>
              <w:bottom w:val="single" w:sz="6" w:space="0" w:color="FFFFFF"/>
              <w:end w:val="single" w:sz="6" w:space="0" w:color="000000"/>
            </w:tcBorders>
          </w:tcPr>
          <w:p>
            <w:pPr>
              <w:pStyle w:val="Normal"/>
              <w:tabs>
                <w:tab w:val="clear" w:pos="720"/>
                <w:tab w:val="left" w:pos="514" w:leader="none"/>
              </w:tabs>
              <w:snapToGrid w:val="false"/>
              <w:rPr>
                <w:sz w:val="20"/>
              </w:rPr>
            </w:pPr>
            <w:r>
              <w:rPr>
                <w:sz w:val="20"/>
              </w:rPr>
            </w:r>
          </w:p>
        </w:tc>
        <w:tc>
          <w:tcPr>
            <w:tcW w:w="11160" w:type="dxa"/>
            <w:gridSpan w:val="2"/>
            <w:tcBorders/>
            <w:tcMar>
              <w:start w:w="0" w:type="dxa"/>
              <w:end w:w="0" w:type="dxa"/>
            </w:tcMar>
          </w:tcPr>
          <w:p>
            <w:pPr>
              <w:pStyle w:val="Normal"/>
              <w:snapToGrid w:val="false"/>
              <w:rPr>
                <w:sz w:val="20"/>
              </w:rPr>
            </w:pPr>
            <w:r>
              <w:rPr>
                <w:sz w:val="20"/>
              </w:rPr>
            </w:r>
          </w:p>
        </w:tc>
      </w:tr>
      <w:tr>
        <w:trPr/>
        <w:tc>
          <w:tcPr>
            <w:tcW w:w="4050" w:type="dxa"/>
            <w:tcBorders>
              <w:top w:val="single" w:sz="6" w:space="0" w:color="000000"/>
              <w:start w:val="single" w:sz="6" w:space="0" w:color="000000"/>
              <w:bottom w:val="single" w:sz="6" w:space="0" w:color="FFFFFF"/>
              <w:end w:val="single" w:sz="6" w:space="0" w:color="000000"/>
            </w:tcBorders>
          </w:tcPr>
          <w:p>
            <w:pPr>
              <w:pStyle w:val="Heading3"/>
              <w:tabs>
                <w:tab w:val="clear" w:pos="720"/>
                <w:tab w:val="left" w:pos="514" w:leader="none"/>
              </w:tabs>
              <w:spacing w:lineRule="auto" w:line="240"/>
              <w:ind w:hanging="0" w:start="0"/>
              <w:rPr/>
            </w:pPr>
            <w:r>
              <w:rPr/>
              <w:t>Part 5:  Legal Risk (VM/BW)</w:t>
            </w:r>
          </w:p>
        </w:tc>
        <w:tc>
          <w:tcPr>
            <w:tcW w:w="5040" w:type="dxa"/>
            <w:tcBorders>
              <w:top w:val="single" w:sz="6" w:space="0" w:color="000000"/>
              <w:start w:val="single" w:sz="6" w:space="0" w:color="FFFFFF"/>
              <w:bottom w:val="single" w:sz="6" w:space="0" w:color="FFFFFF"/>
              <w:end w:val="single" w:sz="6" w:space="0" w:color="000000"/>
            </w:tcBorders>
          </w:tcPr>
          <w:p>
            <w:pPr>
              <w:pStyle w:val="Normal"/>
              <w:tabs>
                <w:tab w:val="clear" w:pos="720"/>
                <w:tab w:val="left" w:pos="514" w:leader="none"/>
              </w:tabs>
              <w:snapToGrid w:val="false"/>
              <w:rPr>
                <w:sz w:val="20"/>
              </w:rPr>
            </w:pPr>
            <w:r>
              <w:rPr>
                <w:sz w:val="20"/>
              </w:rPr>
            </w:r>
          </w:p>
        </w:tc>
        <w:tc>
          <w:tcPr>
            <w:tcW w:w="5040" w:type="dxa"/>
            <w:tcBorders>
              <w:top w:val="single" w:sz="6" w:space="0" w:color="000000"/>
              <w:start w:val="single" w:sz="6" w:space="0" w:color="FFFFFF"/>
              <w:bottom w:val="single" w:sz="6" w:space="0" w:color="FFFFFF"/>
              <w:end w:val="single" w:sz="6" w:space="0" w:color="000000"/>
            </w:tcBorders>
          </w:tcPr>
          <w:p>
            <w:pPr>
              <w:pStyle w:val="Normal"/>
              <w:tabs>
                <w:tab w:val="clear" w:pos="720"/>
                <w:tab w:val="left" w:pos="514" w:leader="none"/>
              </w:tabs>
              <w:snapToGrid w:val="false"/>
              <w:rPr>
                <w:sz w:val="20"/>
              </w:rPr>
            </w:pPr>
            <w:r>
              <w:rPr>
                <w:sz w:val="20"/>
              </w:rPr>
            </w:r>
          </w:p>
        </w:tc>
        <w:tc>
          <w:tcPr>
            <w:tcW w:w="11160" w:type="dxa"/>
            <w:gridSpan w:val="2"/>
            <w:tcBorders/>
            <w:tcMar>
              <w:start w:w="0" w:type="dxa"/>
              <w:end w:w="0" w:type="dxa"/>
            </w:tcMar>
          </w:tcPr>
          <w:p>
            <w:pPr>
              <w:pStyle w:val="Normal"/>
              <w:snapToGrid w:val="false"/>
              <w:rPr>
                <w:sz w:val="20"/>
              </w:rPr>
            </w:pPr>
            <w:r>
              <w:rPr>
                <w:sz w:val="20"/>
              </w:rPr>
            </w:r>
          </w:p>
        </w:tc>
      </w:tr>
      <w:tr>
        <w:trPr/>
        <w:tc>
          <w:tcPr>
            <w:tcW w:w="4050" w:type="dxa"/>
            <w:tcBorders>
              <w:top w:val="single" w:sz="6" w:space="0" w:color="000000"/>
              <w:start w:val="single" w:sz="6" w:space="0" w:color="000000"/>
              <w:bottom w:val="single" w:sz="6" w:space="0" w:color="FFFFFF"/>
              <w:end w:val="single" w:sz="6" w:space="0" w:color="000000"/>
            </w:tcBorders>
          </w:tcPr>
          <w:p>
            <w:pPr>
              <w:pStyle w:val="Normal"/>
              <w:tabs>
                <w:tab w:val="clear" w:pos="720"/>
                <w:tab w:val="left" w:pos="514" w:leader="none"/>
              </w:tabs>
              <w:rPr>
                <w:sz w:val="20"/>
              </w:rPr>
            </w:pPr>
            <w:r>
              <w:rPr>
                <w:sz w:val="20"/>
              </w:rPr>
              <w:t>Corporate – Control of Company (BW)</w:t>
            </w:r>
          </w:p>
        </w:tc>
        <w:tc>
          <w:tcPr>
            <w:tcW w:w="5040" w:type="dxa"/>
            <w:tcBorders>
              <w:top w:val="single" w:sz="6" w:space="0" w:color="000000"/>
              <w:start w:val="single" w:sz="6" w:space="0" w:color="FFFFFF"/>
              <w:bottom w:val="single" w:sz="6" w:space="0" w:color="FFFFFF"/>
              <w:end w:val="single" w:sz="6" w:space="0" w:color="000000"/>
            </w:tcBorders>
          </w:tcPr>
          <w:p>
            <w:pPr>
              <w:pStyle w:val="Normal"/>
              <w:tabs>
                <w:tab w:val="clear" w:pos="720"/>
                <w:tab w:val="left" w:pos="514" w:leader="none"/>
              </w:tabs>
              <w:snapToGrid w:val="false"/>
              <w:rPr>
                <w:sz w:val="20"/>
              </w:rPr>
            </w:pPr>
            <w:r>
              <w:rPr>
                <w:sz w:val="20"/>
              </w:rPr>
            </w:r>
          </w:p>
        </w:tc>
        <w:tc>
          <w:tcPr>
            <w:tcW w:w="5040" w:type="dxa"/>
            <w:tcBorders>
              <w:top w:val="single" w:sz="6" w:space="0" w:color="000000"/>
              <w:start w:val="single" w:sz="6" w:space="0" w:color="FFFFFF"/>
              <w:bottom w:val="single" w:sz="6" w:space="0" w:color="FFFFFF"/>
              <w:end w:val="single" w:sz="6" w:space="0" w:color="000000"/>
            </w:tcBorders>
          </w:tcPr>
          <w:p>
            <w:pPr>
              <w:pStyle w:val="Normal"/>
              <w:tabs>
                <w:tab w:val="clear" w:pos="720"/>
                <w:tab w:val="left" w:pos="514" w:leader="none"/>
              </w:tabs>
              <w:snapToGrid w:val="false"/>
              <w:rPr>
                <w:sz w:val="20"/>
              </w:rPr>
            </w:pPr>
            <w:r>
              <w:rPr>
                <w:sz w:val="20"/>
              </w:rPr>
            </w:r>
          </w:p>
        </w:tc>
        <w:tc>
          <w:tcPr>
            <w:tcW w:w="11160" w:type="dxa"/>
            <w:gridSpan w:val="2"/>
            <w:tcBorders/>
            <w:tcMar>
              <w:start w:w="0" w:type="dxa"/>
              <w:end w:w="0" w:type="dxa"/>
            </w:tcMar>
          </w:tcPr>
          <w:p>
            <w:pPr>
              <w:pStyle w:val="Normal"/>
              <w:snapToGrid w:val="false"/>
              <w:rPr>
                <w:sz w:val="20"/>
              </w:rPr>
            </w:pPr>
            <w:r>
              <w:rPr>
                <w:sz w:val="20"/>
              </w:rPr>
            </w:r>
          </w:p>
        </w:tc>
      </w:tr>
      <w:tr>
        <w:trPr/>
        <w:tc>
          <w:tcPr>
            <w:tcW w:w="4050" w:type="dxa"/>
            <w:tcBorders>
              <w:top w:val="single" w:sz="6" w:space="0" w:color="000000"/>
              <w:start w:val="single" w:sz="6" w:space="0" w:color="000000"/>
              <w:bottom w:val="single" w:sz="6" w:space="0" w:color="FFFFFF"/>
              <w:end w:val="single" w:sz="6" w:space="0" w:color="000000"/>
            </w:tcBorders>
          </w:tcPr>
          <w:p>
            <w:pPr>
              <w:pStyle w:val="Normal"/>
              <w:tabs>
                <w:tab w:val="clear" w:pos="720"/>
                <w:tab w:val="left" w:pos="514" w:leader="none"/>
              </w:tabs>
              <w:rPr>
                <w:sz w:val="20"/>
              </w:rPr>
            </w:pPr>
            <w:r>
              <w:rPr>
                <w:sz w:val="20"/>
              </w:rPr>
              <w:t>Reverse Merger Risk (VM/BW/JA)</w:t>
            </w:r>
          </w:p>
        </w:tc>
        <w:tc>
          <w:tcPr>
            <w:tcW w:w="5040" w:type="dxa"/>
            <w:tcBorders>
              <w:top w:val="single" w:sz="6" w:space="0" w:color="000000"/>
              <w:start w:val="single" w:sz="6" w:space="0" w:color="FFFFFF"/>
              <w:bottom w:val="single" w:sz="6" w:space="0" w:color="FFFFFF"/>
              <w:end w:val="single" w:sz="6" w:space="0" w:color="000000"/>
            </w:tcBorders>
          </w:tcPr>
          <w:p>
            <w:pPr>
              <w:pStyle w:val="Normal"/>
              <w:snapToGrid w:val="false"/>
              <w:rPr>
                <w:sz w:val="20"/>
              </w:rPr>
            </w:pPr>
            <w:r>
              <w:rPr>
                <w:sz w:val="20"/>
              </w:rPr>
            </w:r>
          </w:p>
        </w:tc>
        <w:tc>
          <w:tcPr>
            <w:tcW w:w="5040" w:type="dxa"/>
            <w:tcBorders>
              <w:top w:val="single" w:sz="6" w:space="0" w:color="000000"/>
              <w:start w:val="single" w:sz="6" w:space="0" w:color="FFFFFF"/>
              <w:bottom w:val="single" w:sz="6" w:space="0" w:color="FFFFFF"/>
              <w:end w:val="single" w:sz="6" w:space="0" w:color="000000"/>
            </w:tcBorders>
          </w:tcPr>
          <w:p>
            <w:pPr>
              <w:pStyle w:val="Normal"/>
              <w:snapToGrid w:val="false"/>
              <w:rPr>
                <w:sz w:val="20"/>
              </w:rPr>
            </w:pPr>
            <w:r>
              <w:rPr>
                <w:sz w:val="20"/>
              </w:rPr>
            </w:r>
          </w:p>
        </w:tc>
        <w:tc>
          <w:tcPr>
            <w:tcW w:w="11160" w:type="dxa"/>
            <w:gridSpan w:val="2"/>
            <w:tcBorders/>
            <w:tcMar>
              <w:start w:w="0" w:type="dxa"/>
              <w:end w:w="0" w:type="dxa"/>
            </w:tcMar>
          </w:tcPr>
          <w:p>
            <w:pPr>
              <w:pStyle w:val="Normal"/>
              <w:snapToGrid w:val="false"/>
              <w:rPr>
                <w:sz w:val="20"/>
              </w:rPr>
            </w:pPr>
            <w:r>
              <w:rPr>
                <w:sz w:val="20"/>
              </w:rPr>
            </w:r>
          </w:p>
        </w:tc>
      </w:tr>
      <w:tr>
        <w:trPr/>
        <w:tc>
          <w:tcPr>
            <w:tcW w:w="4050" w:type="dxa"/>
            <w:tcBorders>
              <w:top w:val="single" w:sz="6" w:space="0" w:color="000000"/>
              <w:start w:val="single" w:sz="6" w:space="0" w:color="000000"/>
              <w:bottom w:val="single" w:sz="6" w:space="0" w:color="FFFFFF"/>
              <w:end w:val="single" w:sz="6" w:space="0" w:color="000000"/>
            </w:tcBorders>
          </w:tcPr>
          <w:p>
            <w:pPr>
              <w:pStyle w:val="Normal"/>
              <w:rPr>
                <w:sz w:val="20"/>
              </w:rPr>
            </w:pPr>
            <w:r>
              <w:rPr>
                <w:sz w:val="20"/>
              </w:rPr>
              <w:t>Contingent Liability (JA)</w:t>
            </w:r>
          </w:p>
        </w:tc>
        <w:tc>
          <w:tcPr>
            <w:tcW w:w="5040" w:type="dxa"/>
            <w:tcBorders>
              <w:top w:val="single" w:sz="6" w:space="0" w:color="000000"/>
              <w:start w:val="single" w:sz="6" w:space="0" w:color="FFFFFF"/>
              <w:bottom w:val="single" w:sz="6" w:space="0" w:color="FFFFFF"/>
              <w:end w:val="single" w:sz="6" w:space="0" w:color="000000"/>
            </w:tcBorders>
          </w:tcPr>
          <w:p>
            <w:pPr>
              <w:pStyle w:val="Normal"/>
              <w:snapToGrid w:val="false"/>
              <w:rPr>
                <w:sz w:val="20"/>
              </w:rPr>
            </w:pPr>
            <w:r>
              <w:rPr>
                <w:sz w:val="20"/>
              </w:rPr>
            </w:r>
          </w:p>
        </w:tc>
        <w:tc>
          <w:tcPr>
            <w:tcW w:w="5040" w:type="dxa"/>
            <w:tcBorders>
              <w:top w:val="single" w:sz="6" w:space="0" w:color="000000"/>
              <w:start w:val="single" w:sz="6" w:space="0" w:color="FFFFFF"/>
              <w:bottom w:val="single" w:sz="6" w:space="0" w:color="FFFFFF"/>
              <w:end w:val="single" w:sz="6" w:space="0" w:color="000000"/>
            </w:tcBorders>
          </w:tcPr>
          <w:p>
            <w:pPr>
              <w:pStyle w:val="Normal"/>
              <w:snapToGrid w:val="false"/>
              <w:rPr>
                <w:sz w:val="20"/>
              </w:rPr>
            </w:pPr>
            <w:r>
              <w:rPr>
                <w:sz w:val="20"/>
              </w:rPr>
            </w:r>
          </w:p>
        </w:tc>
        <w:tc>
          <w:tcPr>
            <w:tcW w:w="11160" w:type="dxa"/>
            <w:gridSpan w:val="2"/>
            <w:tcBorders/>
            <w:tcMar>
              <w:start w:w="0" w:type="dxa"/>
              <w:end w:w="0" w:type="dxa"/>
            </w:tcMar>
          </w:tcPr>
          <w:p>
            <w:pPr>
              <w:pStyle w:val="Normal"/>
              <w:snapToGrid w:val="false"/>
              <w:rPr>
                <w:sz w:val="20"/>
              </w:rPr>
            </w:pPr>
            <w:r>
              <w:rPr>
                <w:sz w:val="20"/>
              </w:rPr>
            </w:r>
          </w:p>
        </w:tc>
      </w:tr>
      <w:tr>
        <w:trPr/>
        <w:tc>
          <w:tcPr>
            <w:tcW w:w="4050" w:type="dxa"/>
            <w:tcBorders>
              <w:top w:val="single" w:sz="6" w:space="0" w:color="000000"/>
              <w:start w:val="single" w:sz="6" w:space="0" w:color="000000"/>
              <w:bottom w:val="single" w:sz="6" w:space="0" w:color="FFFFFF"/>
              <w:end w:val="single" w:sz="6" w:space="0" w:color="000000"/>
            </w:tcBorders>
          </w:tcPr>
          <w:p>
            <w:pPr>
              <w:pStyle w:val="Normal"/>
              <w:rPr>
                <w:sz w:val="20"/>
              </w:rPr>
            </w:pPr>
            <w:r>
              <w:rPr>
                <w:b/>
                <w:u w:val="single"/>
              </w:rPr>
              <w:t>Part 6:  Contract Risk (VM/BW)</w:t>
            </w:r>
          </w:p>
          <w:p>
            <w:pPr>
              <w:pStyle w:val="Normal"/>
              <w:tabs>
                <w:tab w:val="clear" w:pos="720"/>
                <w:tab w:val="left" w:pos="514" w:leader="none"/>
              </w:tabs>
              <w:rPr>
                <w:sz w:val="20"/>
              </w:rPr>
            </w:pPr>
            <w:r>
              <w:rPr>
                <w:sz w:val="20"/>
              </w:rPr>
              <w:t>Financial Contracts (CS/CC)</w:t>
            </w:r>
          </w:p>
        </w:tc>
        <w:tc>
          <w:tcPr>
            <w:tcW w:w="5040" w:type="dxa"/>
            <w:tcBorders>
              <w:top w:val="single" w:sz="6" w:space="0" w:color="000000"/>
              <w:start w:val="single" w:sz="6" w:space="0" w:color="FFFFFF"/>
              <w:bottom w:val="single" w:sz="6" w:space="0" w:color="FFFFFF"/>
              <w:end w:val="single" w:sz="6" w:space="0" w:color="000000"/>
            </w:tcBorders>
          </w:tcPr>
          <w:p>
            <w:pPr>
              <w:pStyle w:val="Normal"/>
              <w:tabs>
                <w:tab w:val="clear" w:pos="720"/>
                <w:tab w:val="left" w:pos="514" w:leader="none"/>
              </w:tabs>
              <w:snapToGrid w:val="false"/>
              <w:rPr>
                <w:sz w:val="20"/>
              </w:rPr>
            </w:pPr>
            <w:r>
              <w:rPr>
                <w:sz w:val="20"/>
              </w:rPr>
            </w:r>
          </w:p>
        </w:tc>
        <w:tc>
          <w:tcPr>
            <w:tcW w:w="5040" w:type="dxa"/>
            <w:tcBorders>
              <w:top w:val="single" w:sz="6" w:space="0" w:color="000000"/>
              <w:start w:val="single" w:sz="6" w:space="0" w:color="FFFFFF"/>
              <w:bottom w:val="single" w:sz="6" w:space="0" w:color="FFFFFF"/>
              <w:end w:val="single" w:sz="6" w:space="0" w:color="000000"/>
            </w:tcBorders>
          </w:tcPr>
          <w:p>
            <w:pPr>
              <w:pStyle w:val="Normal"/>
              <w:tabs>
                <w:tab w:val="clear" w:pos="720"/>
                <w:tab w:val="left" w:pos="514" w:leader="none"/>
              </w:tabs>
              <w:snapToGrid w:val="false"/>
              <w:rPr>
                <w:sz w:val="20"/>
              </w:rPr>
            </w:pPr>
            <w:r>
              <w:rPr>
                <w:sz w:val="20"/>
              </w:rPr>
            </w:r>
          </w:p>
        </w:tc>
        <w:tc>
          <w:tcPr>
            <w:tcW w:w="11160" w:type="dxa"/>
            <w:gridSpan w:val="2"/>
            <w:tcBorders/>
            <w:tcMar>
              <w:start w:w="0" w:type="dxa"/>
              <w:end w:w="0" w:type="dxa"/>
            </w:tcMar>
          </w:tcPr>
          <w:p>
            <w:pPr>
              <w:pStyle w:val="Normal"/>
              <w:snapToGrid w:val="false"/>
              <w:rPr>
                <w:sz w:val="20"/>
              </w:rPr>
            </w:pPr>
            <w:r>
              <w:rPr>
                <w:sz w:val="20"/>
              </w:rPr>
            </w:r>
          </w:p>
        </w:tc>
      </w:tr>
      <w:tr>
        <w:trPr/>
        <w:tc>
          <w:tcPr>
            <w:tcW w:w="4050" w:type="dxa"/>
            <w:tcBorders>
              <w:top w:val="single" w:sz="6" w:space="0" w:color="000000"/>
              <w:start w:val="single" w:sz="6" w:space="0" w:color="000000"/>
              <w:bottom w:val="single" w:sz="6" w:space="0" w:color="FFFFFF"/>
              <w:end w:val="single" w:sz="6" w:space="0" w:color="000000"/>
            </w:tcBorders>
          </w:tcPr>
          <w:p>
            <w:pPr>
              <w:pStyle w:val="Normal"/>
              <w:rPr>
                <w:sz w:val="20"/>
              </w:rPr>
            </w:pPr>
            <w:r>
              <w:rPr>
                <w:sz w:val="20"/>
              </w:rPr>
              <w:t>Supply Contracts (MJ)</w:t>
            </w:r>
          </w:p>
        </w:tc>
        <w:tc>
          <w:tcPr>
            <w:tcW w:w="5040" w:type="dxa"/>
            <w:tcBorders>
              <w:top w:val="single" w:sz="6" w:space="0" w:color="000000"/>
              <w:start w:val="single" w:sz="6" w:space="0" w:color="FFFFFF"/>
              <w:bottom w:val="single" w:sz="6" w:space="0" w:color="FFFFFF"/>
              <w:end w:val="single" w:sz="6" w:space="0" w:color="000000"/>
            </w:tcBorders>
          </w:tcPr>
          <w:p>
            <w:pPr>
              <w:pStyle w:val="Normal"/>
              <w:tabs>
                <w:tab w:val="clear" w:pos="720"/>
                <w:tab w:val="left" w:pos="514" w:leader="none"/>
              </w:tabs>
              <w:snapToGrid w:val="false"/>
              <w:rPr>
                <w:sz w:val="20"/>
              </w:rPr>
            </w:pPr>
            <w:r>
              <w:rPr>
                <w:sz w:val="20"/>
              </w:rPr>
            </w:r>
          </w:p>
        </w:tc>
        <w:tc>
          <w:tcPr>
            <w:tcW w:w="5040" w:type="dxa"/>
            <w:tcBorders>
              <w:top w:val="single" w:sz="6" w:space="0" w:color="000000"/>
              <w:start w:val="single" w:sz="6" w:space="0" w:color="FFFFFF"/>
              <w:bottom w:val="single" w:sz="6" w:space="0" w:color="FFFFFF"/>
              <w:end w:val="single" w:sz="6" w:space="0" w:color="000000"/>
            </w:tcBorders>
          </w:tcPr>
          <w:p>
            <w:pPr>
              <w:pStyle w:val="Normal"/>
              <w:tabs>
                <w:tab w:val="clear" w:pos="720"/>
                <w:tab w:val="left" w:pos="514" w:leader="none"/>
              </w:tabs>
              <w:snapToGrid w:val="false"/>
              <w:rPr>
                <w:sz w:val="20"/>
              </w:rPr>
            </w:pPr>
            <w:r>
              <w:rPr>
                <w:sz w:val="20"/>
              </w:rPr>
            </w:r>
          </w:p>
        </w:tc>
        <w:tc>
          <w:tcPr>
            <w:tcW w:w="11160" w:type="dxa"/>
            <w:gridSpan w:val="2"/>
            <w:tcBorders/>
            <w:tcMar>
              <w:start w:w="0" w:type="dxa"/>
              <w:end w:w="0" w:type="dxa"/>
            </w:tcMar>
          </w:tcPr>
          <w:p>
            <w:pPr>
              <w:pStyle w:val="Normal"/>
              <w:snapToGrid w:val="false"/>
              <w:rPr>
                <w:sz w:val="20"/>
              </w:rPr>
            </w:pPr>
            <w:r>
              <w:rPr>
                <w:sz w:val="20"/>
              </w:rPr>
            </w:r>
          </w:p>
        </w:tc>
      </w:tr>
      <w:tr>
        <w:trPr/>
        <w:tc>
          <w:tcPr>
            <w:tcW w:w="4050" w:type="dxa"/>
            <w:tcBorders>
              <w:top w:val="single" w:sz="6" w:space="0" w:color="000000"/>
              <w:start w:val="single" w:sz="6" w:space="0" w:color="000000"/>
              <w:bottom w:val="single" w:sz="6" w:space="0" w:color="FFFFFF"/>
              <w:end w:val="single" w:sz="6" w:space="0" w:color="000000"/>
            </w:tcBorders>
          </w:tcPr>
          <w:p>
            <w:pPr>
              <w:pStyle w:val="Heading3"/>
              <w:tabs>
                <w:tab w:val="clear" w:pos="720"/>
                <w:tab w:val="left" w:pos="514" w:leader="none"/>
              </w:tabs>
              <w:spacing w:lineRule="auto" w:line="240"/>
              <w:ind w:hanging="0" w:start="0"/>
              <w:rPr/>
            </w:pPr>
            <w:r>
              <w:rPr/>
              <w:t>Part 7:  Labor Aspects (OA/JA)</w:t>
            </w:r>
          </w:p>
        </w:tc>
        <w:tc>
          <w:tcPr>
            <w:tcW w:w="5040" w:type="dxa"/>
            <w:tcBorders>
              <w:top w:val="single" w:sz="6" w:space="0" w:color="000000"/>
              <w:start w:val="single" w:sz="6" w:space="0" w:color="FFFFFF"/>
              <w:bottom w:val="single" w:sz="6" w:space="0" w:color="FFFFFF"/>
              <w:end w:val="single" w:sz="6" w:space="0" w:color="000000"/>
            </w:tcBorders>
          </w:tcPr>
          <w:p>
            <w:pPr>
              <w:pStyle w:val="Normal"/>
              <w:tabs>
                <w:tab w:val="clear" w:pos="720"/>
                <w:tab w:val="left" w:pos="514" w:leader="none"/>
              </w:tabs>
              <w:snapToGrid w:val="false"/>
              <w:rPr>
                <w:sz w:val="20"/>
              </w:rPr>
            </w:pPr>
            <w:r>
              <w:rPr>
                <w:sz w:val="20"/>
              </w:rPr>
            </w:r>
          </w:p>
        </w:tc>
        <w:tc>
          <w:tcPr>
            <w:tcW w:w="5040" w:type="dxa"/>
            <w:tcBorders>
              <w:top w:val="single" w:sz="6" w:space="0" w:color="000000"/>
              <w:start w:val="single" w:sz="6" w:space="0" w:color="FFFFFF"/>
              <w:bottom w:val="single" w:sz="6" w:space="0" w:color="FFFFFF"/>
              <w:end w:val="single" w:sz="6" w:space="0" w:color="000000"/>
            </w:tcBorders>
          </w:tcPr>
          <w:p>
            <w:pPr>
              <w:pStyle w:val="Normal"/>
              <w:tabs>
                <w:tab w:val="clear" w:pos="720"/>
                <w:tab w:val="left" w:pos="514" w:leader="none"/>
              </w:tabs>
              <w:snapToGrid w:val="false"/>
              <w:rPr>
                <w:sz w:val="20"/>
              </w:rPr>
            </w:pPr>
            <w:r>
              <w:rPr>
                <w:sz w:val="20"/>
              </w:rPr>
            </w:r>
          </w:p>
        </w:tc>
        <w:tc>
          <w:tcPr>
            <w:tcW w:w="11160" w:type="dxa"/>
            <w:gridSpan w:val="2"/>
            <w:tcBorders/>
            <w:tcMar>
              <w:start w:w="0" w:type="dxa"/>
              <w:end w:w="0" w:type="dxa"/>
            </w:tcMar>
          </w:tcPr>
          <w:p>
            <w:pPr>
              <w:pStyle w:val="Normal"/>
              <w:snapToGrid w:val="false"/>
              <w:rPr>
                <w:sz w:val="20"/>
              </w:rPr>
            </w:pPr>
            <w:r>
              <w:rPr>
                <w:sz w:val="20"/>
              </w:rPr>
            </w:r>
          </w:p>
        </w:tc>
      </w:tr>
      <w:tr>
        <w:trPr/>
        <w:tc>
          <w:tcPr>
            <w:tcW w:w="4050" w:type="dxa"/>
            <w:tcBorders>
              <w:top w:val="single" w:sz="6" w:space="0" w:color="000000"/>
              <w:start w:val="single" w:sz="6" w:space="0" w:color="000000"/>
              <w:end w:val="single" w:sz="6" w:space="0" w:color="000000"/>
            </w:tcBorders>
          </w:tcPr>
          <w:p>
            <w:pPr>
              <w:pStyle w:val="Normal"/>
              <w:tabs>
                <w:tab w:val="clear" w:pos="720"/>
                <w:tab w:val="left" w:pos="514" w:leader="none"/>
              </w:tabs>
              <w:rPr>
                <w:sz w:val="20"/>
              </w:rPr>
            </w:pPr>
            <w:r>
              <w:rPr>
                <w:sz w:val="20"/>
              </w:rPr>
              <w:t>Employee Reductions (OA/JA)</w:t>
            </w:r>
          </w:p>
        </w:tc>
        <w:tc>
          <w:tcPr>
            <w:tcW w:w="5040" w:type="dxa"/>
            <w:tcBorders>
              <w:top w:val="single" w:sz="6" w:space="0" w:color="000000"/>
              <w:start w:val="single" w:sz="6" w:space="0" w:color="FFFFFF"/>
              <w:end w:val="single" w:sz="6" w:space="0" w:color="000000"/>
            </w:tcBorders>
          </w:tcPr>
          <w:p>
            <w:pPr>
              <w:pStyle w:val="Normal"/>
              <w:tabs>
                <w:tab w:val="clear" w:pos="720"/>
                <w:tab w:val="left" w:pos="514" w:leader="none"/>
              </w:tabs>
              <w:snapToGrid w:val="false"/>
              <w:rPr>
                <w:sz w:val="20"/>
              </w:rPr>
            </w:pPr>
            <w:r>
              <w:rPr>
                <w:sz w:val="20"/>
              </w:rPr>
            </w:r>
          </w:p>
        </w:tc>
        <w:tc>
          <w:tcPr>
            <w:tcW w:w="5040" w:type="dxa"/>
            <w:tcBorders>
              <w:top w:val="single" w:sz="6" w:space="0" w:color="000000"/>
              <w:start w:val="single" w:sz="6" w:space="0" w:color="FFFFFF"/>
              <w:end w:val="single" w:sz="6" w:space="0" w:color="000000"/>
            </w:tcBorders>
          </w:tcPr>
          <w:p>
            <w:pPr>
              <w:pStyle w:val="Normal"/>
              <w:tabs>
                <w:tab w:val="clear" w:pos="720"/>
                <w:tab w:val="left" w:pos="514" w:leader="none"/>
              </w:tabs>
              <w:snapToGrid w:val="false"/>
              <w:rPr>
                <w:sz w:val="20"/>
              </w:rPr>
            </w:pPr>
            <w:r>
              <w:rPr>
                <w:sz w:val="20"/>
              </w:rPr>
            </w:r>
          </w:p>
        </w:tc>
        <w:tc>
          <w:tcPr>
            <w:tcW w:w="11160" w:type="dxa"/>
            <w:gridSpan w:val="2"/>
            <w:tcBorders/>
            <w:tcMar>
              <w:start w:w="0" w:type="dxa"/>
              <w:end w:w="0" w:type="dxa"/>
            </w:tcMar>
          </w:tcPr>
          <w:p>
            <w:pPr>
              <w:pStyle w:val="Normal"/>
              <w:snapToGrid w:val="false"/>
              <w:rPr>
                <w:sz w:val="20"/>
              </w:rPr>
            </w:pPr>
            <w:r>
              <w:rPr>
                <w:sz w:val="20"/>
              </w:rPr>
            </w:r>
          </w:p>
        </w:tc>
      </w:tr>
      <w:tr>
        <w:trPr/>
        <w:tc>
          <w:tcPr>
            <w:tcW w:w="4050" w:type="dxa"/>
            <w:tcBorders>
              <w:top w:val="single" w:sz="2" w:space="0" w:color="000000"/>
              <w:start w:val="single" w:sz="2" w:space="0" w:color="000000"/>
              <w:bottom w:val="single" w:sz="2" w:space="0" w:color="000000"/>
              <w:end w:val="single" w:sz="2" w:space="0" w:color="000000"/>
            </w:tcBorders>
          </w:tcPr>
          <w:p>
            <w:pPr>
              <w:pStyle w:val="Normal"/>
              <w:tabs>
                <w:tab w:val="clear" w:pos="720"/>
                <w:tab w:val="left" w:pos="514" w:leader="none"/>
              </w:tabs>
              <w:rPr>
                <w:sz w:val="20"/>
              </w:rPr>
            </w:pPr>
            <w:r>
              <w:rPr>
                <w:sz w:val="20"/>
              </w:rPr>
              <w:t>Pension Fund (OA/JA)</w:t>
            </w:r>
          </w:p>
        </w:tc>
        <w:tc>
          <w:tcPr>
            <w:tcW w:w="5040" w:type="dxa"/>
            <w:tcBorders>
              <w:top w:val="single" w:sz="2" w:space="0" w:color="000000"/>
              <w:start w:val="single" w:sz="2" w:space="0" w:color="000000"/>
              <w:bottom w:val="single" w:sz="2" w:space="0" w:color="000000"/>
              <w:end w:val="single" w:sz="2" w:space="0" w:color="000000"/>
            </w:tcBorders>
          </w:tcPr>
          <w:p>
            <w:pPr>
              <w:pStyle w:val="Normal"/>
              <w:tabs>
                <w:tab w:val="clear" w:pos="720"/>
                <w:tab w:val="left" w:pos="514" w:leader="none"/>
              </w:tabs>
              <w:snapToGrid w:val="false"/>
              <w:rPr>
                <w:sz w:val="20"/>
              </w:rPr>
            </w:pPr>
            <w:r>
              <w:rPr>
                <w:sz w:val="20"/>
              </w:rPr>
            </w:r>
          </w:p>
        </w:tc>
        <w:tc>
          <w:tcPr>
            <w:tcW w:w="5040" w:type="dxa"/>
            <w:tcBorders>
              <w:top w:val="single" w:sz="2" w:space="0" w:color="000000"/>
              <w:start w:val="single" w:sz="2" w:space="0" w:color="000000"/>
              <w:bottom w:val="single" w:sz="2" w:space="0" w:color="000000"/>
              <w:end w:val="single" w:sz="2" w:space="0" w:color="000000"/>
            </w:tcBorders>
          </w:tcPr>
          <w:p>
            <w:pPr>
              <w:pStyle w:val="Normal"/>
              <w:tabs>
                <w:tab w:val="clear" w:pos="720"/>
                <w:tab w:val="left" w:pos="514" w:leader="none"/>
              </w:tabs>
              <w:snapToGrid w:val="false"/>
              <w:rPr>
                <w:sz w:val="20"/>
              </w:rPr>
            </w:pPr>
            <w:r>
              <w:rPr>
                <w:sz w:val="20"/>
              </w:rPr>
            </w:r>
          </w:p>
        </w:tc>
        <w:tc>
          <w:tcPr>
            <w:tcW w:w="11160" w:type="dxa"/>
            <w:gridSpan w:val="2"/>
            <w:tcBorders/>
            <w:tcMar>
              <w:start w:w="0" w:type="dxa"/>
              <w:end w:w="0" w:type="dxa"/>
            </w:tcMar>
          </w:tcPr>
          <w:p>
            <w:pPr>
              <w:pStyle w:val="Normal"/>
              <w:snapToGrid w:val="false"/>
              <w:rPr>
                <w:sz w:val="20"/>
              </w:rPr>
            </w:pPr>
            <w:r>
              <w:rPr>
                <w:sz w:val="20"/>
              </w:rPr>
            </w:r>
          </w:p>
        </w:tc>
      </w:tr>
      <w:tr>
        <w:trPr/>
        <w:tc>
          <w:tcPr>
            <w:tcW w:w="4050" w:type="dxa"/>
            <w:tcBorders>
              <w:start w:val="single" w:sz="6" w:space="0" w:color="000000"/>
              <w:bottom w:val="single" w:sz="6" w:space="0" w:color="FFFFFF"/>
              <w:end w:val="single" w:sz="6" w:space="0" w:color="000000"/>
            </w:tcBorders>
          </w:tcPr>
          <w:p>
            <w:pPr>
              <w:pStyle w:val="Normal"/>
              <w:tabs>
                <w:tab w:val="clear" w:pos="720"/>
                <w:tab w:val="left" w:pos="514" w:leader="none"/>
              </w:tabs>
              <w:rPr>
                <w:sz w:val="20"/>
              </w:rPr>
            </w:pPr>
            <w:r>
              <w:rPr>
                <w:sz w:val="20"/>
              </w:rPr>
              <w:t>Collective Employee Agreements (OA/JA)</w:t>
            </w:r>
          </w:p>
        </w:tc>
        <w:tc>
          <w:tcPr>
            <w:tcW w:w="5040" w:type="dxa"/>
            <w:tcBorders>
              <w:start w:val="single" w:sz="6" w:space="0" w:color="FFFFFF"/>
              <w:bottom w:val="single" w:sz="6" w:space="0" w:color="FFFFFF"/>
              <w:end w:val="single" w:sz="6" w:space="0" w:color="000000"/>
            </w:tcBorders>
          </w:tcPr>
          <w:p>
            <w:pPr>
              <w:pStyle w:val="Normal"/>
              <w:tabs>
                <w:tab w:val="clear" w:pos="720"/>
                <w:tab w:val="left" w:pos="514" w:leader="none"/>
              </w:tabs>
              <w:snapToGrid w:val="false"/>
              <w:rPr>
                <w:sz w:val="20"/>
              </w:rPr>
            </w:pPr>
            <w:r>
              <w:rPr>
                <w:sz w:val="20"/>
              </w:rPr>
            </w:r>
          </w:p>
        </w:tc>
        <w:tc>
          <w:tcPr>
            <w:tcW w:w="5040" w:type="dxa"/>
            <w:tcBorders>
              <w:start w:val="single" w:sz="6" w:space="0" w:color="FFFFFF"/>
              <w:bottom w:val="single" w:sz="6" w:space="0" w:color="FFFFFF"/>
              <w:end w:val="single" w:sz="6" w:space="0" w:color="000000"/>
            </w:tcBorders>
          </w:tcPr>
          <w:p>
            <w:pPr>
              <w:pStyle w:val="Normal"/>
              <w:tabs>
                <w:tab w:val="clear" w:pos="720"/>
                <w:tab w:val="left" w:pos="514" w:leader="none"/>
              </w:tabs>
              <w:snapToGrid w:val="false"/>
              <w:rPr>
                <w:sz w:val="20"/>
              </w:rPr>
            </w:pPr>
            <w:r>
              <w:rPr>
                <w:sz w:val="20"/>
              </w:rPr>
            </w:r>
          </w:p>
        </w:tc>
        <w:tc>
          <w:tcPr>
            <w:tcW w:w="11160" w:type="dxa"/>
            <w:gridSpan w:val="2"/>
            <w:tcBorders/>
            <w:tcMar>
              <w:start w:w="0" w:type="dxa"/>
              <w:end w:w="0" w:type="dxa"/>
            </w:tcMar>
          </w:tcPr>
          <w:p>
            <w:pPr>
              <w:pStyle w:val="Normal"/>
              <w:snapToGrid w:val="false"/>
              <w:rPr>
                <w:sz w:val="20"/>
              </w:rPr>
            </w:pPr>
            <w:r>
              <w:rPr>
                <w:sz w:val="20"/>
              </w:rPr>
            </w:r>
          </w:p>
        </w:tc>
      </w:tr>
      <w:tr>
        <w:trPr/>
        <w:tc>
          <w:tcPr>
            <w:tcW w:w="4050" w:type="dxa"/>
            <w:tcBorders>
              <w:top w:val="single" w:sz="6" w:space="0" w:color="000000"/>
              <w:start w:val="single" w:sz="6" w:space="0" w:color="000000"/>
              <w:bottom w:val="single" w:sz="6" w:space="0" w:color="FFFFFF"/>
              <w:end w:val="single" w:sz="6" w:space="0" w:color="000000"/>
            </w:tcBorders>
          </w:tcPr>
          <w:p>
            <w:pPr>
              <w:pStyle w:val="Heading3"/>
              <w:tabs>
                <w:tab w:val="clear" w:pos="720"/>
                <w:tab w:val="left" w:pos="514" w:leader="none"/>
              </w:tabs>
              <w:spacing w:lineRule="auto" w:line="240"/>
              <w:ind w:hanging="0" w:start="0"/>
              <w:rPr/>
            </w:pPr>
            <w:r>
              <w:rPr/>
              <w:t>Part 8:  Environmental (OA/JA)</w:t>
            </w:r>
          </w:p>
        </w:tc>
        <w:tc>
          <w:tcPr>
            <w:tcW w:w="5040" w:type="dxa"/>
            <w:tcBorders>
              <w:top w:val="single" w:sz="6" w:space="0" w:color="000000"/>
              <w:start w:val="single" w:sz="6" w:space="0" w:color="FFFFFF"/>
              <w:bottom w:val="single" w:sz="6" w:space="0" w:color="FFFFFF"/>
              <w:end w:val="single" w:sz="6" w:space="0" w:color="000000"/>
            </w:tcBorders>
          </w:tcPr>
          <w:p>
            <w:pPr>
              <w:pStyle w:val="Normal"/>
              <w:tabs>
                <w:tab w:val="clear" w:pos="720"/>
                <w:tab w:val="left" w:pos="514" w:leader="none"/>
              </w:tabs>
              <w:snapToGrid w:val="false"/>
              <w:rPr>
                <w:sz w:val="20"/>
              </w:rPr>
            </w:pPr>
            <w:r>
              <w:rPr>
                <w:sz w:val="20"/>
              </w:rPr>
            </w:r>
          </w:p>
        </w:tc>
        <w:tc>
          <w:tcPr>
            <w:tcW w:w="5040" w:type="dxa"/>
            <w:tcBorders>
              <w:top w:val="single" w:sz="6" w:space="0" w:color="000000"/>
              <w:start w:val="single" w:sz="6" w:space="0" w:color="FFFFFF"/>
              <w:bottom w:val="single" w:sz="6" w:space="0" w:color="FFFFFF"/>
              <w:end w:val="single" w:sz="6" w:space="0" w:color="000000"/>
            </w:tcBorders>
          </w:tcPr>
          <w:p>
            <w:pPr>
              <w:pStyle w:val="Normal"/>
              <w:tabs>
                <w:tab w:val="clear" w:pos="720"/>
                <w:tab w:val="left" w:pos="514" w:leader="none"/>
              </w:tabs>
              <w:snapToGrid w:val="false"/>
              <w:rPr>
                <w:sz w:val="20"/>
              </w:rPr>
            </w:pPr>
            <w:r>
              <w:rPr>
                <w:sz w:val="20"/>
              </w:rPr>
            </w:r>
          </w:p>
        </w:tc>
        <w:tc>
          <w:tcPr>
            <w:tcW w:w="11160" w:type="dxa"/>
            <w:gridSpan w:val="2"/>
            <w:tcBorders/>
            <w:tcMar>
              <w:start w:w="0" w:type="dxa"/>
              <w:end w:w="0" w:type="dxa"/>
            </w:tcMar>
          </w:tcPr>
          <w:p>
            <w:pPr>
              <w:pStyle w:val="Normal"/>
              <w:snapToGrid w:val="false"/>
              <w:rPr>
                <w:sz w:val="20"/>
              </w:rPr>
            </w:pPr>
            <w:r>
              <w:rPr>
                <w:sz w:val="20"/>
              </w:rPr>
            </w:r>
          </w:p>
        </w:tc>
      </w:tr>
      <w:tr>
        <w:trPr/>
        <w:tc>
          <w:tcPr>
            <w:tcW w:w="4050" w:type="dxa"/>
            <w:tcBorders>
              <w:top w:val="single" w:sz="6" w:space="0" w:color="000000"/>
              <w:start w:val="single" w:sz="6" w:space="0" w:color="000000"/>
              <w:bottom w:val="single" w:sz="6" w:space="0" w:color="FFFFFF"/>
              <w:end w:val="single" w:sz="6" w:space="0" w:color="000000"/>
            </w:tcBorders>
          </w:tcPr>
          <w:p>
            <w:pPr>
              <w:pStyle w:val="Normal"/>
              <w:tabs>
                <w:tab w:val="clear" w:pos="720"/>
                <w:tab w:val="left" w:pos="514" w:leader="none"/>
              </w:tabs>
              <w:rPr>
                <w:sz w:val="20"/>
              </w:rPr>
            </w:pPr>
            <w:r>
              <w:rPr>
                <w:sz w:val="20"/>
              </w:rPr>
              <w:t>Environmental Liabilities (OA/JA)</w:t>
            </w:r>
          </w:p>
        </w:tc>
        <w:tc>
          <w:tcPr>
            <w:tcW w:w="5040" w:type="dxa"/>
            <w:tcBorders>
              <w:top w:val="single" w:sz="6" w:space="0" w:color="000000"/>
              <w:start w:val="single" w:sz="6" w:space="0" w:color="FFFFFF"/>
              <w:bottom w:val="single" w:sz="6" w:space="0" w:color="FFFFFF"/>
              <w:end w:val="single" w:sz="6" w:space="0" w:color="000000"/>
            </w:tcBorders>
          </w:tcPr>
          <w:p>
            <w:pPr>
              <w:pStyle w:val="Normal"/>
              <w:tabs>
                <w:tab w:val="clear" w:pos="720"/>
                <w:tab w:val="left" w:pos="514" w:leader="none"/>
              </w:tabs>
              <w:snapToGrid w:val="false"/>
              <w:rPr>
                <w:sz w:val="20"/>
              </w:rPr>
            </w:pPr>
            <w:r>
              <w:rPr>
                <w:sz w:val="20"/>
              </w:rPr>
            </w:r>
          </w:p>
        </w:tc>
        <w:tc>
          <w:tcPr>
            <w:tcW w:w="5040" w:type="dxa"/>
            <w:tcBorders>
              <w:top w:val="single" w:sz="6" w:space="0" w:color="000000"/>
              <w:start w:val="single" w:sz="6" w:space="0" w:color="FFFFFF"/>
              <w:bottom w:val="single" w:sz="6" w:space="0" w:color="FFFFFF"/>
              <w:end w:val="single" w:sz="6" w:space="0" w:color="000000"/>
            </w:tcBorders>
          </w:tcPr>
          <w:p>
            <w:pPr>
              <w:pStyle w:val="Normal"/>
              <w:tabs>
                <w:tab w:val="clear" w:pos="720"/>
                <w:tab w:val="left" w:pos="514" w:leader="none"/>
              </w:tabs>
              <w:snapToGrid w:val="false"/>
              <w:rPr>
                <w:sz w:val="20"/>
              </w:rPr>
            </w:pPr>
            <w:r>
              <w:rPr>
                <w:sz w:val="20"/>
              </w:rPr>
            </w:r>
          </w:p>
        </w:tc>
        <w:tc>
          <w:tcPr>
            <w:tcW w:w="11160" w:type="dxa"/>
            <w:gridSpan w:val="2"/>
            <w:tcBorders/>
            <w:tcMar>
              <w:start w:w="0" w:type="dxa"/>
              <w:end w:w="0" w:type="dxa"/>
            </w:tcMar>
          </w:tcPr>
          <w:p>
            <w:pPr>
              <w:pStyle w:val="Normal"/>
              <w:snapToGrid w:val="false"/>
              <w:rPr>
                <w:sz w:val="20"/>
              </w:rPr>
            </w:pPr>
            <w:r>
              <w:rPr>
                <w:sz w:val="20"/>
              </w:rPr>
            </w:r>
          </w:p>
        </w:tc>
      </w:tr>
      <w:tr>
        <w:trPr/>
        <w:tc>
          <w:tcPr>
            <w:tcW w:w="4050" w:type="dxa"/>
            <w:tcBorders>
              <w:top w:val="single" w:sz="6" w:space="0" w:color="000000"/>
              <w:start w:val="single" w:sz="6" w:space="0" w:color="000000"/>
              <w:bottom w:val="single" w:sz="6" w:space="0" w:color="FFFFFF"/>
              <w:end w:val="single" w:sz="6" w:space="0" w:color="000000"/>
            </w:tcBorders>
          </w:tcPr>
          <w:p>
            <w:pPr>
              <w:pStyle w:val="Normal"/>
              <w:tabs>
                <w:tab w:val="clear" w:pos="720"/>
                <w:tab w:val="left" w:pos="514" w:leader="none"/>
              </w:tabs>
              <w:rPr>
                <w:sz w:val="20"/>
              </w:rPr>
            </w:pPr>
            <w:r>
              <w:rPr>
                <w:sz w:val="20"/>
              </w:rPr>
              <w:t>Indemnification Issues (OA/JA)</w:t>
            </w:r>
          </w:p>
        </w:tc>
        <w:tc>
          <w:tcPr>
            <w:tcW w:w="5040" w:type="dxa"/>
            <w:tcBorders>
              <w:top w:val="single" w:sz="6" w:space="0" w:color="000000"/>
              <w:start w:val="single" w:sz="6" w:space="0" w:color="FFFFFF"/>
              <w:bottom w:val="single" w:sz="6" w:space="0" w:color="FFFFFF"/>
              <w:end w:val="single" w:sz="6" w:space="0" w:color="000000"/>
            </w:tcBorders>
          </w:tcPr>
          <w:p>
            <w:pPr>
              <w:pStyle w:val="Normal"/>
              <w:tabs>
                <w:tab w:val="clear" w:pos="720"/>
                <w:tab w:val="left" w:pos="514" w:leader="none"/>
              </w:tabs>
              <w:snapToGrid w:val="false"/>
              <w:rPr>
                <w:sz w:val="20"/>
              </w:rPr>
            </w:pPr>
            <w:r>
              <w:rPr>
                <w:sz w:val="20"/>
              </w:rPr>
            </w:r>
          </w:p>
        </w:tc>
        <w:tc>
          <w:tcPr>
            <w:tcW w:w="5040" w:type="dxa"/>
            <w:tcBorders>
              <w:top w:val="single" w:sz="6" w:space="0" w:color="000000"/>
              <w:start w:val="single" w:sz="6" w:space="0" w:color="FFFFFF"/>
              <w:bottom w:val="single" w:sz="6" w:space="0" w:color="FFFFFF"/>
              <w:end w:val="single" w:sz="6" w:space="0" w:color="000000"/>
            </w:tcBorders>
          </w:tcPr>
          <w:p>
            <w:pPr>
              <w:pStyle w:val="Normal"/>
              <w:tabs>
                <w:tab w:val="clear" w:pos="720"/>
                <w:tab w:val="left" w:pos="514" w:leader="none"/>
              </w:tabs>
              <w:snapToGrid w:val="false"/>
              <w:rPr>
                <w:sz w:val="20"/>
              </w:rPr>
            </w:pPr>
            <w:r>
              <w:rPr>
                <w:sz w:val="20"/>
              </w:rPr>
            </w:r>
          </w:p>
        </w:tc>
        <w:tc>
          <w:tcPr>
            <w:tcW w:w="11160" w:type="dxa"/>
            <w:gridSpan w:val="2"/>
            <w:tcBorders/>
            <w:tcMar>
              <w:start w:w="0" w:type="dxa"/>
              <w:end w:w="0" w:type="dxa"/>
            </w:tcMar>
          </w:tcPr>
          <w:p>
            <w:pPr>
              <w:pStyle w:val="Normal"/>
              <w:snapToGrid w:val="false"/>
              <w:rPr>
                <w:sz w:val="20"/>
              </w:rPr>
            </w:pPr>
            <w:r>
              <w:rPr>
                <w:sz w:val="20"/>
              </w:rPr>
            </w:r>
          </w:p>
        </w:tc>
      </w:tr>
      <w:tr>
        <w:trPr/>
        <w:tc>
          <w:tcPr>
            <w:tcW w:w="4050" w:type="dxa"/>
            <w:tcBorders>
              <w:top w:val="single" w:sz="6" w:space="0" w:color="000000"/>
              <w:start w:val="single" w:sz="6" w:space="0" w:color="000000"/>
              <w:bottom w:val="single" w:sz="6" w:space="0" w:color="FFFFFF"/>
              <w:end w:val="single" w:sz="6" w:space="0" w:color="000000"/>
            </w:tcBorders>
          </w:tcPr>
          <w:p>
            <w:pPr>
              <w:pStyle w:val="Heading3"/>
              <w:tabs>
                <w:tab w:val="clear" w:pos="720"/>
                <w:tab w:val="left" w:pos="514" w:leader="none"/>
              </w:tabs>
              <w:spacing w:lineRule="auto" w:line="240"/>
              <w:ind w:hanging="0" w:start="0"/>
              <w:rPr/>
            </w:pPr>
            <w:r>
              <w:rPr/>
              <w:t>Part 9:  Tax Issues (JH/JA/CS)</w:t>
            </w:r>
          </w:p>
        </w:tc>
        <w:tc>
          <w:tcPr>
            <w:tcW w:w="5040" w:type="dxa"/>
            <w:tcBorders>
              <w:top w:val="single" w:sz="6" w:space="0" w:color="000000"/>
              <w:start w:val="single" w:sz="6" w:space="0" w:color="FFFFFF"/>
              <w:bottom w:val="single" w:sz="6" w:space="0" w:color="FFFFFF"/>
              <w:end w:val="single" w:sz="6" w:space="0" w:color="000000"/>
            </w:tcBorders>
          </w:tcPr>
          <w:p>
            <w:pPr>
              <w:pStyle w:val="Normal"/>
              <w:tabs>
                <w:tab w:val="clear" w:pos="720"/>
                <w:tab w:val="left" w:pos="514" w:leader="none"/>
              </w:tabs>
              <w:snapToGrid w:val="false"/>
              <w:rPr>
                <w:sz w:val="20"/>
              </w:rPr>
            </w:pPr>
            <w:r>
              <w:rPr>
                <w:sz w:val="20"/>
              </w:rPr>
            </w:r>
          </w:p>
        </w:tc>
        <w:tc>
          <w:tcPr>
            <w:tcW w:w="5040" w:type="dxa"/>
            <w:tcBorders>
              <w:top w:val="single" w:sz="6" w:space="0" w:color="000000"/>
              <w:start w:val="single" w:sz="6" w:space="0" w:color="FFFFFF"/>
              <w:bottom w:val="single" w:sz="6" w:space="0" w:color="FFFFFF"/>
              <w:end w:val="single" w:sz="6" w:space="0" w:color="000000"/>
            </w:tcBorders>
          </w:tcPr>
          <w:p>
            <w:pPr>
              <w:pStyle w:val="Normal"/>
              <w:tabs>
                <w:tab w:val="clear" w:pos="720"/>
                <w:tab w:val="left" w:pos="514" w:leader="none"/>
              </w:tabs>
              <w:snapToGrid w:val="false"/>
              <w:rPr>
                <w:sz w:val="20"/>
              </w:rPr>
            </w:pPr>
            <w:r>
              <w:rPr>
                <w:sz w:val="20"/>
              </w:rPr>
            </w:r>
          </w:p>
        </w:tc>
        <w:tc>
          <w:tcPr>
            <w:tcW w:w="11160" w:type="dxa"/>
            <w:gridSpan w:val="2"/>
            <w:tcBorders/>
            <w:tcMar>
              <w:start w:w="0" w:type="dxa"/>
              <w:end w:w="0" w:type="dxa"/>
            </w:tcMar>
          </w:tcPr>
          <w:p>
            <w:pPr>
              <w:pStyle w:val="Normal"/>
              <w:snapToGrid w:val="false"/>
              <w:rPr>
                <w:sz w:val="20"/>
              </w:rPr>
            </w:pPr>
            <w:r>
              <w:rPr>
                <w:sz w:val="20"/>
              </w:rPr>
            </w:r>
          </w:p>
        </w:tc>
      </w:tr>
      <w:tr>
        <w:trPr/>
        <w:tc>
          <w:tcPr>
            <w:tcW w:w="4050" w:type="dxa"/>
            <w:tcBorders>
              <w:top w:val="single" w:sz="6" w:space="0" w:color="000000"/>
              <w:start w:val="single" w:sz="6" w:space="0" w:color="000000"/>
              <w:bottom w:val="single" w:sz="6" w:space="0" w:color="FFFFFF"/>
              <w:end w:val="single" w:sz="6" w:space="0" w:color="000000"/>
            </w:tcBorders>
          </w:tcPr>
          <w:p>
            <w:pPr>
              <w:pStyle w:val="Normal"/>
              <w:tabs>
                <w:tab w:val="clear" w:pos="720"/>
                <w:tab w:val="left" w:pos="514" w:leader="none"/>
              </w:tabs>
              <w:rPr>
                <w:b/>
                <w:u w:val="single"/>
              </w:rPr>
            </w:pPr>
            <w:r>
              <w:rPr>
                <w:b/>
                <w:u w:val="single"/>
              </w:rPr>
              <w:t>Part 10:  Insurance (TD/JA)</w:t>
            </w:r>
          </w:p>
        </w:tc>
        <w:tc>
          <w:tcPr>
            <w:tcW w:w="5040" w:type="dxa"/>
            <w:tcBorders>
              <w:top w:val="single" w:sz="6" w:space="0" w:color="000000"/>
              <w:start w:val="single" w:sz="6" w:space="0" w:color="FFFFFF"/>
              <w:bottom w:val="single" w:sz="6" w:space="0" w:color="FFFFFF"/>
              <w:end w:val="single" w:sz="6" w:space="0" w:color="000000"/>
            </w:tcBorders>
          </w:tcPr>
          <w:p>
            <w:pPr>
              <w:pStyle w:val="Normal"/>
              <w:tabs>
                <w:tab w:val="clear" w:pos="720"/>
                <w:tab w:val="left" w:pos="514" w:leader="none"/>
              </w:tabs>
              <w:snapToGrid w:val="false"/>
              <w:rPr>
                <w:b/>
                <w:sz w:val="20"/>
                <w:u w:val="single"/>
              </w:rPr>
            </w:pPr>
            <w:r>
              <w:rPr>
                <w:b/>
                <w:sz w:val="20"/>
                <w:u w:val="single"/>
              </w:rPr>
            </w:r>
          </w:p>
        </w:tc>
        <w:tc>
          <w:tcPr>
            <w:tcW w:w="5040" w:type="dxa"/>
            <w:tcBorders>
              <w:top w:val="single" w:sz="6" w:space="0" w:color="000000"/>
              <w:start w:val="single" w:sz="6" w:space="0" w:color="FFFFFF"/>
              <w:bottom w:val="single" w:sz="6" w:space="0" w:color="FFFFFF"/>
              <w:end w:val="single" w:sz="6" w:space="0" w:color="000000"/>
            </w:tcBorders>
          </w:tcPr>
          <w:p>
            <w:pPr>
              <w:pStyle w:val="Normal"/>
              <w:tabs>
                <w:tab w:val="clear" w:pos="720"/>
                <w:tab w:val="left" w:pos="514" w:leader="none"/>
              </w:tabs>
              <w:snapToGrid w:val="false"/>
              <w:rPr>
                <w:sz w:val="20"/>
              </w:rPr>
            </w:pPr>
            <w:r>
              <w:rPr>
                <w:sz w:val="20"/>
              </w:rPr>
            </w:r>
          </w:p>
        </w:tc>
        <w:tc>
          <w:tcPr>
            <w:tcW w:w="11160" w:type="dxa"/>
            <w:gridSpan w:val="2"/>
            <w:tcBorders/>
            <w:tcMar>
              <w:start w:w="0" w:type="dxa"/>
              <w:end w:w="0" w:type="dxa"/>
            </w:tcMar>
          </w:tcPr>
          <w:p>
            <w:pPr>
              <w:pStyle w:val="Normal"/>
              <w:snapToGrid w:val="false"/>
              <w:rPr>
                <w:sz w:val="20"/>
              </w:rPr>
            </w:pPr>
            <w:r>
              <w:rPr>
                <w:sz w:val="20"/>
              </w:rPr>
            </w:r>
          </w:p>
        </w:tc>
      </w:tr>
      <w:tr>
        <w:trPr/>
        <w:tc>
          <w:tcPr>
            <w:tcW w:w="4050" w:type="dxa"/>
            <w:tcBorders>
              <w:top w:val="single" w:sz="6" w:space="0" w:color="000000"/>
              <w:start w:val="single" w:sz="6" w:space="0" w:color="000000"/>
              <w:bottom w:val="single" w:sz="6" w:space="0" w:color="FFFFFF"/>
              <w:end w:val="single" w:sz="6" w:space="0" w:color="000000"/>
            </w:tcBorders>
          </w:tcPr>
          <w:p>
            <w:pPr>
              <w:pStyle w:val="Heading3"/>
              <w:tabs>
                <w:tab w:val="clear" w:pos="720"/>
                <w:tab w:val="left" w:pos="514" w:leader="none"/>
              </w:tabs>
              <w:spacing w:lineRule="auto" w:line="240"/>
              <w:ind w:hanging="0" w:start="0"/>
              <w:rPr/>
            </w:pPr>
            <w:r>
              <w:rPr/>
              <w:t>Part 11:  Financing Issues (DC)</w:t>
            </w:r>
          </w:p>
        </w:tc>
        <w:tc>
          <w:tcPr>
            <w:tcW w:w="5040" w:type="dxa"/>
            <w:tcBorders>
              <w:top w:val="single" w:sz="6" w:space="0" w:color="000000"/>
              <w:start w:val="single" w:sz="6" w:space="0" w:color="FFFFFF"/>
              <w:bottom w:val="single" w:sz="6" w:space="0" w:color="FFFFFF"/>
              <w:end w:val="single" w:sz="6" w:space="0" w:color="000000"/>
            </w:tcBorders>
          </w:tcPr>
          <w:p>
            <w:pPr>
              <w:pStyle w:val="Normal"/>
              <w:tabs>
                <w:tab w:val="clear" w:pos="720"/>
                <w:tab w:val="left" w:pos="514" w:leader="none"/>
              </w:tabs>
              <w:snapToGrid w:val="false"/>
              <w:rPr>
                <w:sz w:val="20"/>
              </w:rPr>
            </w:pPr>
            <w:r>
              <w:rPr>
                <w:sz w:val="20"/>
              </w:rPr>
            </w:r>
          </w:p>
        </w:tc>
        <w:tc>
          <w:tcPr>
            <w:tcW w:w="5040" w:type="dxa"/>
            <w:tcBorders>
              <w:top w:val="single" w:sz="6" w:space="0" w:color="000000"/>
              <w:start w:val="single" w:sz="6" w:space="0" w:color="FFFFFF"/>
              <w:bottom w:val="single" w:sz="6" w:space="0" w:color="FFFFFF"/>
              <w:end w:val="single" w:sz="6" w:space="0" w:color="000000"/>
            </w:tcBorders>
          </w:tcPr>
          <w:p>
            <w:pPr>
              <w:pStyle w:val="Normal"/>
              <w:tabs>
                <w:tab w:val="clear" w:pos="720"/>
                <w:tab w:val="left" w:pos="514" w:leader="none"/>
              </w:tabs>
              <w:snapToGrid w:val="false"/>
              <w:rPr>
                <w:sz w:val="20"/>
              </w:rPr>
            </w:pPr>
            <w:r>
              <w:rPr>
                <w:sz w:val="20"/>
              </w:rPr>
            </w:r>
          </w:p>
        </w:tc>
        <w:tc>
          <w:tcPr>
            <w:tcW w:w="11160" w:type="dxa"/>
            <w:gridSpan w:val="2"/>
            <w:tcBorders/>
            <w:tcMar>
              <w:start w:w="0" w:type="dxa"/>
              <w:end w:w="0" w:type="dxa"/>
            </w:tcMar>
          </w:tcPr>
          <w:p>
            <w:pPr>
              <w:pStyle w:val="Normal"/>
              <w:snapToGrid w:val="false"/>
              <w:rPr>
                <w:sz w:val="20"/>
              </w:rPr>
            </w:pPr>
            <w:r>
              <w:rPr>
                <w:sz w:val="20"/>
              </w:rPr>
            </w:r>
          </w:p>
        </w:tc>
      </w:tr>
      <w:tr>
        <w:trPr/>
        <w:tc>
          <w:tcPr>
            <w:tcW w:w="4050" w:type="dxa"/>
            <w:tcBorders>
              <w:top w:val="single" w:sz="6" w:space="0" w:color="000000"/>
              <w:start w:val="single" w:sz="6" w:space="0" w:color="000000"/>
              <w:bottom w:val="single" w:sz="6" w:space="0" w:color="FFFFFF"/>
              <w:end w:val="single" w:sz="6" w:space="0" w:color="000000"/>
            </w:tcBorders>
          </w:tcPr>
          <w:p>
            <w:pPr>
              <w:pStyle w:val="Normal"/>
              <w:tabs>
                <w:tab w:val="clear" w:pos="720"/>
                <w:tab w:val="left" w:pos="514" w:leader="none"/>
              </w:tabs>
              <w:rPr>
                <w:b/>
                <w:u w:val="single"/>
              </w:rPr>
            </w:pPr>
            <w:r>
              <w:rPr>
                <w:b/>
                <w:u w:val="single"/>
              </w:rPr>
              <w:t>Part 12:  Fin/Acctg Issues (CS/CC)</w:t>
            </w:r>
          </w:p>
        </w:tc>
        <w:tc>
          <w:tcPr>
            <w:tcW w:w="5040" w:type="dxa"/>
            <w:tcBorders>
              <w:top w:val="single" w:sz="6" w:space="0" w:color="000000"/>
              <w:start w:val="single" w:sz="6" w:space="0" w:color="FFFFFF"/>
              <w:bottom w:val="single" w:sz="6" w:space="0" w:color="FFFFFF"/>
              <w:end w:val="single" w:sz="6" w:space="0" w:color="000000"/>
            </w:tcBorders>
          </w:tcPr>
          <w:p>
            <w:pPr>
              <w:pStyle w:val="Normal"/>
              <w:tabs>
                <w:tab w:val="clear" w:pos="720"/>
                <w:tab w:val="left" w:pos="514" w:leader="none"/>
              </w:tabs>
              <w:snapToGrid w:val="false"/>
              <w:rPr>
                <w:b/>
                <w:u w:val="single"/>
              </w:rPr>
            </w:pPr>
            <w:r>
              <w:rPr>
                <w:b/>
                <w:u w:val="single"/>
              </w:rPr>
            </w:r>
          </w:p>
        </w:tc>
        <w:tc>
          <w:tcPr>
            <w:tcW w:w="5040" w:type="dxa"/>
            <w:tcBorders>
              <w:top w:val="single" w:sz="6" w:space="0" w:color="000000"/>
              <w:start w:val="single" w:sz="6" w:space="0" w:color="FFFFFF"/>
              <w:bottom w:val="single" w:sz="6" w:space="0" w:color="FFFFFF"/>
              <w:end w:val="single" w:sz="6" w:space="0" w:color="000000"/>
            </w:tcBorders>
          </w:tcPr>
          <w:p>
            <w:pPr>
              <w:pStyle w:val="Normal"/>
              <w:tabs>
                <w:tab w:val="clear" w:pos="720"/>
                <w:tab w:val="left" w:pos="514" w:leader="none"/>
              </w:tabs>
              <w:snapToGrid w:val="false"/>
              <w:rPr>
                <w:sz w:val="20"/>
              </w:rPr>
            </w:pPr>
            <w:r>
              <w:rPr>
                <w:sz w:val="20"/>
              </w:rPr>
            </w:r>
          </w:p>
        </w:tc>
        <w:tc>
          <w:tcPr>
            <w:tcW w:w="11160" w:type="dxa"/>
            <w:gridSpan w:val="2"/>
            <w:tcBorders/>
            <w:tcMar>
              <w:start w:w="0" w:type="dxa"/>
              <w:end w:w="0" w:type="dxa"/>
            </w:tcMar>
          </w:tcPr>
          <w:p>
            <w:pPr>
              <w:pStyle w:val="Normal"/>
              <w:snapToGrid w:val="false"/>
              <w:rPr>
                <w:sz w:val="20"/>
              </w:rPr>
            </w:pPr>
            <w:r>
              <w:rPr>
                <w:sz w:val="20"/>
              </w:rPr>
            </w:r>
          </w:p>
        </w:tc>
      </w:tr>
      <w:tr>
        <w:trPr/>
        <w:tc>
          <w:tcPr>
            <w:tcW w:w="4050" w:type="dxa"/>
            <w:tcBorders>
              <w:top w:val="single" w:sz="6" w:space="0" w:color="000000"/>
              <w:start w:val="single" w:sz="6" w:space="0" w:color="000000"/>
              <w:bottom w:val="single" w:sz="6" w:space="0" w:color="FFFFFF"/>
              <w:end w:val="single" w:sz="6" w:space="0" w:color="000000"/>
            </w:tcBorders>
          </w:tcPr>
          <w:p>
            <w:pPr>
              <w:pStyle w:val="Normal"/>
              <w:tabs>
                <w:tab w:val="clear" w:pos="720"/>
                <w:tab w:val="left" w:pos="514" w:leader="none"/>
              </w:tabs>
              <w:rPr>
                <w:sz w:val="20"/>
              </w:rPr>
            </w:pPr>
            <w:r>
              <w:rPr>
                <w:sz w:val="20"/>
              </w:rPr>
              <w:t>Contingent Liabilities (CS/CC)</w:t>
            </w:r>
          </w:p>
        </w:tc>
        <w:tc>
          <w:tcPr>
            <w:tcW w:w="5040" w:type="dxa"/>
            <w:tcBorders>
              <w:top w:val="single" w:sz="6" w:space="0" w:color="000000"/>
              <w:start w:val="single" w:sz="6" w:space="0" w:color="FFFFFF"/>
              <w:bottom w:val="single" w:sz="6" w:space="0" w:color="000000"/>
              <w:end w:val="single" w:sz="6" w:space="0" w:color="000000"/>
            </w:tcBorders>
          </w:tcPr>
          <w:p>
            <w:pPr>
              <w:pStyle w:val="Normal"/>
              <w:tabs>
                <w:tab w:val="clear" w:pos="720"/>
                <w:tab w:val="left" w:pos="514" w:leader="none"/>
              </w:tabs>
              <w:snapToGrid w:val="false"/>
              <w:rPr>
                <w:sz w:val="20"/>
              </w:rPr>
            </w:pPr>
            <w:r>
              <w:rPr>
                <w:sz w:val="20"/>
              </w:rPr>
            </w:r>
          </w:p>
        </w:tc>
        <w:tc>
          <w:tcPr>
            <w:tcW w:w="5040" w:type="dxa"/>
            <w:tcBorders>
              <w:top w:val="single" w:sz="6" w:space="0" w:color="000000"/>
              <w:start w:val="single" w:sz="6" w:space="0" w:color="FFFFFF"/>
              <w:bottom w:val="single" w:sz="6" w:space="0" w:color="000000"/>
              <w:end w:val="single" w:sz="6" w:space="0" w:color="000000"/>
            </w:tcBorders>
          </w:tcPr>
          <w:p>
            <w:pPr>
              <w:pStyle w:val="Normal"/>
              <w:tabs>
                <w:tab w:val="clear" w:pos="720"/>
                <w:tab w:val="left" w:pos="514" w:leader="none"/>
              </w:tabs>
              <w:snapToGrid w:val="false"/>
              <w:rPr>
                <w:sz w:val="20"/>
              </w:rPr>
            </w:pPr>
            <w:r>
              <w:rPr>
                <w:sz w:val="20"/>
              </w:rPr>
            </w:r>
          </w:p>
        </w:tc>
        <w:tc>
          <w:tcPr>
            <w:tcW w:w="11160" w:type="dxa"/>
            <w:gridSpan w:val="2"/>
            <w:tcBorders/>
            <w:tcMar>
              <w:start w:w="0" w:type="dxa"/>
              <w:end w:w="0" w:type="dxa"/>
            </w:tcMar>
          </w:tcPr>
          <w:p>
            <w:pPr>
              <w:pStyle w:val="Normal"/>
              <w:snapToGrid w:val="false"/>
              <w:rPr>
                <w:sz w:val="20"/>
              </w:rPr>
            </w:pPr>
            <w:r>
              <w:rPr>
                <w:sz w:val="20"/>
              </w:rPr>
            </w:r>
          </w:p>
        </w:tc>
      </w:tr>
      <w:tr>
        <w:trPr/>
        <w:tc>
          <w:tcPr>
            <w:tcW w:w="405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514" w:leader="none"/>
              </w:tabs>
              <w:rPr>
                <w:sz w:val="20"/>
              </w:rPr>
            </w:pPr>
            <w:r>
              <w:rPr>
                <w:sz w:val="20"/>
              </w:rPr>
              <w:t>Balance Sheet Adjustments (CS/CC)</w:t>
            </w:r>
          </w:p>
        </w:tc>
        <w:tc>
          <w:tcPr>
            <w:tcW w:w="5040" w:type="dxa"/>
            <w:tcBorders>
              <w:top w:val="single" w:sz="6" w:space="0" w:color="000000"/>
              <w:start w:val="single" w:sz="6" w:space="0" w:color="FFFFFF"/>
              <w:bottom w:val="single" w:sz="6" w:space="0" w:color="000000"/>
              <w:end w:val="single" w:sz="6" w:space="0" w:color="000000"/>
            </w:tcBorders>
          </w:tcPr>
          <w:p>
            <w:pPr>
              <w:pStyle w:val="Normal"/>
              <w:tabs>
                <w:tab w:val="clear" w:pos="720"/>
                <w:tab w:val="left" w:pos="514" w:leader="none"/>
              </w:tabs>
              <w:snapToGrid w:val="false"/>
              <w:rPr>
                <w:sz w:val="20"/>
              </w:rPr>
            </w:pPr>
            <w:r>
              <w:rPr>
                <w:sz w:val="20"/>
              </w:rPr>
            </w:r>
          </w:p>
        </w:tc>
        <w:tc>
          <w:tcPr>
            <w:tcW w:w="5040" w:type="dxa"/>
            <w:tcBorders>
              <w:top w:val="single" w:sz="6" w:space="0" w:color="000000"/>
              <w:start w:val="single" w:sz="6" w:space="0" w:color="FFFFFF"/>
              <w:bottom w:val="single" w:sz="6" w:space="0" w:color="000000"/>
              <w:end w:val="single" w:sz="6" w:space="0" w:color="000000"/>
            </w:tcBorders>
          </w:tcPr>
          <w:p>
            <w:pPr>
              <w:pStyle w:val="Normal"/>
              <w:tabs>
                <w:tab w:val="clear" w:pos="720"/>
                <w:tab w:val="left" w:pos="514" w:leader="none"/>
              </w:tabs>
              <w:snapToGrid w:val="false"/>
              <w:rPr>
                <w:sz w:val="20"/>
              </w:rPr>
            </w:pPr>
            <w:r>
              <w:rPr>
                <w:sz w:val="20"/>
              </w:rPr>
            </w:r>
          </w:p>
        </w:tc>
        <w:tc>
          <w:tcPr>
            <w:tcW w:w="11160" w:type="dxa"/>
            <w:gridSpan w:val="2"/>
            <w:tcBorders/>
            <w:tcMar>
              <w:start w:w="0" w:type="dxa"/>
              <w:end w:w="0" w:type="dxa"/>
            </w:tcMar>
          </w:tcPr>
          <w:p>
            <w:pPr>
              <w:pStyle w:val="Normal"/>
              <w:snapToGrid w:val="false"/>
              <w:rPr>
                <w:sz w:val="20"/>
              </w:rPr>
            </w:pPr>
            <w:r>
              <w:rPr>
                <w:sz w:val="20"/>
              </w:rPr>
            </w:r>
          </w:p>
        </w:tc>
      </w:tr>
      <w:tr>
        <w:trPr/>
        <w:tc>
          <w:tcPr>
            <w:tcW w:w="4050" w:type="dxa"/>
            <w:tcBorders>
              <w:top w:val="single" w:sz="6" w:space="0" w:color="000000"/>
              <w:start w:val="single" w:sz="6" w:space="0" w:color="000000"/>
              <w:bottom w:val="single" w:sz="6" w:space="0" w:color="000000"/>
              <w:end w:val="single" w:sz="6" w:space="0" w:color="000000"/>
            </w:tcBorders>
          </w:tcPr>
          <w:p>
            <w:pPr>
              <w:pStyle w:val="Heading3"/>
              <w:tabs>
                <w:tab w:val="clear" w:pos="720"/>
                <w:tab w:val="left" w:pos="514" w:leader="none"/>
              </w:tabs>
              <w:spacing w:lineRule="auto" w:line="240"/>
              <w:ind w:hanging="0" w:start="0"/>
              <w:rPr/>
            </w:pPr>
            <w:r>
              <w:rPr/>
              <w:t>Part 13: Partnership Issues (EM/JR)</w:t>
            </w:r>
          </w:p>
        </w:tc>
        <w:tc>
          <w:tcPr>
            <w:tcW w:w="5040" w:type="dxa"/>
            <w:tcBorders>
              <w:top w:val="single" w:sz="6" w:space="0" w:color="000000"/>
              <w:start w:val="single" w:sz="6" w:space="0" w:color="FFFFFF"/>
              <w:bottom w:val="single" w:sz="6" w:space="0" w:color="000000"/>
              <w:end w:val="single" w:sz="6" w:space="0" w:color="000000"/>
            </w:tcBorders>
          </w:tcPr>
          <w:p>
            <w:pPr>
              <w:pStyle w:val="Normal"/>
              <w:tabs>
                <w:tab w:val="clear" w:pos="720"/>
                <w:tab w:val="left" w:pos="514" w:leader="none"/>
              </w:tabs>
              <w:snapToGrid w:val="false"/>
              <w:rPr/>
            </w:pPr>
            <w:r>
              <w:rPr/>
            </w:r>
          </w:p>
        </w:tc>
        <w:tc>
          <w:tcPr>
            <w:tcW w:w="5040" w:type="dxa"/>
            <w:tcBorders>
              <w:top w:val="single" w:sz="6" w:space="0" w:color="000000"/>
              <w:start w:val="single" w:sz="6" w:space="0" w:color="FFFFFF"/>
              <w:bottom w:val="single" w:sz="6" w:space="0" w:color="000000"/>
              <w:end w:val="single" w:sz="6" w:space="0" w:color="000000"/>
            </w:tcBorders>
          </w:tcPr>
          <w:p>
            <w:pPr>
              <w:pStyle w:val="Normal"/>
              <w:tabs>
                <w:tab w:val="clear" w:pos="720"/>
                <w:tab w:val="left" w:pos="514" w:leader="none"/>
              </w:tabs>
              <w:snapToGrid w:val="false"/>
              <w:rPr>
                <w:sz w:val="20"/>
              </w:rPr>
            </w:pPr>
            <w:r>
              <w:rPr>
                <w:sz w:val="20"/>
              </w:rPr>
            </w:r>
          </w:p>
        </w:tc>
        <w:tc>
          <w:tcPr>
            <w:tcW w:w="11160" w:type="dxa"/>
            <w:gridSpan w:val="2"/>
            <w:tcBorders/>
            <w:tcMar>
              <w:start w:w="0" w:type="dxa"/>
              <w:end w:w="0" w:type="dxa"/>
            </w:tcMar>
          </w:tcPr>
          <w:p>
            <w:pPr>
              <w:pStyle w:val="Normal"/>
              <w:snapToGrid w:val="false"/>
              <w:rPr>
                <w:sz w:val="20"/>
              </w:rPr>
            </w:pPr>
            <w:r>
              <w:rPr>
                <w:sz w:val="20"/>
              </w:rPr>
            </w:r>
          </w:p>
        </w:tc>
      </w:tr>
      <w:tr>
        <w:trPr/>
        <w:tc>
          <w:tcPr>
            <w:tcW w:w="405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514" w:leader="none"/>
              </w:tabs>
              <w:rPr>
                <w:sz w:val="20"/>
              </w:rPr>
            </w:pPr>
            <w:r>
              <w:rPr>
                <w:sz w:val="20"/>
              </w:rPr>
              <w:t>Joint Bidding Agreement  (JR)</w:t>
            </w:r>
          </w:p>
        </w:tc>
        <w:tc>
          <w:tcPr>
            <w:tcW w:w="5040" w:type="dxa"/>
            <w:tcBorders>
              <w:top w:val="single" w:sz="6" w:space="0" w:color="000000"/>
              <w:start w:val="single" w:sz="6" w:space="0" w:color="FFFFFF"/>
              <w:bottom w:val="single" w:sz="6" w:space="0" w:color="000000"/>
              <w:end w:val="single" w:sz="6" w:space="0" w:color="000000"/>
            </w:tcBorders>
          </w:tcPr>
          <w:p>
            <w:pPr>
              <w:pStyle w:val="Normal"/>
              <w:tabs>
                <w:tab w:val="clear" w:pos="720"/>
                <w:tab w:val="left" w:pos="514" w:leader="none"/>
              </w:tabs>
              <w:snapToGrid w:val="false"/>
              <w:rPr>
                <w:sz w:val="20"/>
              </w:rPr>
            </w:pPr>
            <w:r>
              <w:rPr>
                <w:sz w:val="20"/>
              </w:rPr>
            </w:r>
          </w:p>
        </w:tc>
        <w:tc>
          <w:tcPr>
            <w:tcW w:w="5040" w:type="dxa"/>
            <w:tcBorders>
              <w:top w:val="single" w:sz="6" w:space="0" w:color="000000"/>
              <w:start w:val="single" w:sz="6" w:space="0" w:color="FFFFFF"/>
              <w:bottom w:val="single" w:sz="6" w:space="0" w:color="000000"/>
              <w:end w:val="single" w:sz="6" w:space="0" w:color="000000"/>
            </w:tcBorders>
          </w:tcPr>
          <w:p>
            <w:pPr>
              <w:pStyle w:val="Normal"/>
              <w:tabs>
                <w:tab w:val="clear" w:pos="720"/>
                <w:tab w:val="left" w:pos="514" w:leader="none"/>
              </w:tabs>
              <w:snapToGrid w:val="false"/>
              <w:rPr>
                <w:sz w:val="20"/>
              </w:rPr>
            </w:pPr>
            <w:r>
              <w:rPr>
                <w:sz w:val="20"/>
              </w:rPr>
            </w:r>
          </w:p>
        </w:tc>
        <w:tc>
          <w:tcPr>
            <w:tcW w:w="11160" w:type="dxa"/>
            <w:gridSpan w:val="2"/>
            <w:tcBorders/>
            <w:tcMar>
              <w:start w:w="0" w:type="dxa"/>
              <w:end w:w="0" w:type="dxa"/>
            </w:tcMar>
          </w:tcPr>
          <w:p>
            <w:pPr>
              <w:pStyle w:val="Normal"/>
              <w:snapToGrid w:val="false"/>
              <w:rPr>
                <w:sz w:val="20"/>
              </w:rPr>
            </w:pPr>
            <w:r>
              <w:rPr>
                <w:sz w:val="20"/>
              </w:rPr>
            </w:r>
          </w:p>
        </w:tc>
      </w:tr>
      <w:tr>
        <w:trPr/>
        <w:tc>
          <w:tcPr>
            <w:tcW w:w="405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514" w:leader="none"/>
              </w:tabs>
              <w:rPr>
                <w:sz w:val="20"/>
              </w:rPr>
            </w:pPr>
            <w:r>
              <w:rPr>
                <w:sz w:val="20"/>
              </w:rPr>
              <w:t>Operations Agreement  (NC)</w:t>
            </w:r>
          </w:p>
        </w:tc>
        <w:tc>
          <w:tcPr>
            <w:tcW w:w="5040" w:type="dxa"/>
            <w:tcBorders>
              <w:top w:val="single" w:sz="6" w:space="0" w:color="000000"/>
              <w:start w:val="single" w:sz="6" w:space="0" w:color="FFFFFF"/>
              <w:bottom w:val="single" w:sz="6" w:space="0" w:color="000000"/>
              <w:end w:val="single" w:sz="6" w:space="0" w:color="000000"/>
            </w:tcBorders>
          </w:tcPr>
          <w:p>
            <w:pPr>
              <w:pStyle w:val="Normal"/>
              <w:tabs>
                <w:tab w:val="clear" w:pos="720"/>
                <w:tab w:val="left" w:pos="514" w:leader="none"/>
              </w:tabs>
              <w:snapToGrid w:val="false"/>
              <w:rPr>
                <w:sz w:val="20"/>
              </w:rPr>
            </w:pPr>
            <w:r>
              <w:rPr>
                <w:sz w:val="20"/>
              </w:rPr>
            </w:r>
          </w:p>
        </w:tc>
        <w:tc>
          <w:tcPr>
            <w:tcW w:w="5040" w:type="dxa"/>
            <w:tcBorders>
              <w:top w:val="single" w:sz="6" w:space="0" w:color="000000"/>
              <w:start w:val="single" w:sz="6" w:space="0" w:color="FFFFFF"/>
              <w:bottom w:val="single" w:sz="6" w:space="0" w:color="000000"/>
              <w:end w:val="single" w:sz="6" w:space="0" w:color="000000"/>
            </w:tcBorders>
          </w:tcPr>
          <w:p>
            <w:pPr>
              <w:pStyle w:val="Normal"/>
              <w:tabs>
                <w:tab w:val="clear" w:pos="720"/>
                <w:tab w:val="left" w:pos="514" w:leader="none"/>
              </w:tabs>
              <w:snapToGrid w:val="false"/>
              <w:rPr/>
            </w:pPr>
            <w:r>
              <w:rPr/>
            </w:r>
          </w:p>
        </w:tc>
        <w:tc>
          <w:tcPr>
            <w:tcW w:w="11160" w:type="dxa"/>
            <w:gridSpan w:val="2"/>
            <w:tcBorders/>
            <w:tcMar>
              <w:start w:w="0" w:type="dxa"/>
              <w:end w:w="0" w:type="dxa"/>
            </w:tcMar>
          </w:tcPr>
          <w:p>
            <w:pPr>
              <w:pStyle w:val="Normal"/>
              <w:snapToGrid w:val="false"/>
              <w:rPr>
                <w:sz w:val="20"/>
              </w:rPr>
            </w:pPr>
            <w:r>
              <w:rPr>
                <w:sz w:val="20"/>
              </w:rPr>
            </w:r>
          </w:p>
        </w:tc>
      </w:tr>
      <w:tr>
        <w:trPr/>
        <w:tc>
          <w:tcPr>
            <w:tcW w:w="4050" w:type="dxa"/>
            <w:tcBorders>
              <w:top w:val="single" w:sz="6" w:space="0" w:color="000000"/>
              <w:start w:val="single" w:sz="6" w:space="0" w:color="000000"/>
              <w:bottom w:val="single" w:sz="6" w:space="0" w:color="FFFFFF"/>
              <w:end w:val="single" w:sz="6" w:space="0" w:color="000000"/>
            </w:tcBorders>
          </w:tcPr>
          <w:p>
            <w:pPr>
              <w:pStyle w:val="Normal"/>
              <w:rPr>
                <w:sz w:val="20"/>
              </w:rPr>
            </w:pPr>
            <w:r>
              <w:rPr>
                <w:sz w:val="20"/>
              </w:rPr>
              <w:t>Shareholders Agreement (JR)</w:t>
            </w:r>
          </w:p>
        </w:tc>
        <w:tc>
          <w:tcPr>
            <w:tcW w:w="5040" w:type="dxa"/>
            <w:tcBorders>
              <w:top w:val="single" w:sz="6" w:space="0" w:color="000000"/>
              <w:start w:val="single" w:sz="6" w:space="0" w:color="FFFFFF"/>
              <w:bottom w:val="single" w:sz="6" w:space="0" w:color="FFFFFF"/>
              <w:end w:val="single" w:sz="6" w:space="0" w:color="000000"/>
            </w:tcBorders>
          </w:tcPr>
          <w:p>
            <w:pPr>
              <w:pStyle w:val="Normal"/>
              <w:tabs>
                <w:tab w:val="clear" w:pos="720"/>
                <w:tab w:val="left" w:pos="514" w:leader="none"/>
              </w:tabs>
              <w:snapToGrid w:val="false"/>
              <w:rPr>
                <w:sz w:val="20"/>
              </w:rPr>
            </w:pPr>
            <w:r>
              <w:rPr>
                <w:sz w:val="20"/>
              </w:rPr>
            </w:r>
          </w:p>
        </w:tc>
        <w:tc>
          <w:tcPr>
            <w:tcW w:w="5040" w:type="dxa"/>
            <w:tcBorders>
              <w:top w:val="single" w:sz="6" w:space="0" w:color="000000"/>
              <w:start w:val="single" w:sz="6" w:space="0" w:color="FFFFFF"/>
              <w:bottom w:val="single" w:sz="6" w:space="0" w:color="FFFFFF"/>
              <w:end w:val="single" w:sz="6" w:space="0" w:color="000000"/>
            </w:tcBorders>
          </w:tcPr>
          <w:p>
            <w:pPr>
              <w:pStyle w:val="Normal"/>
              <w:tabs>
                <w:tab w:val="clear" w:pos="720"/>
                <w:tab w:val="left" w:pos="514" w:leader="none"/>
              </w:tabs>
              <w:snapToGrid w:val="false"/>
              <w:rPr>
                <w:sz w:val="20"/>
              </w:rPr>
            </w:pPr>
            <w:r>
              <w:rPr>
                <w:sz w:val="20"/>
              </w:rPr>
            </w:r>
          </w:p>
        </w:tc>
        <w:tc>
          <w:tcPr>
            <w:tcW w:w="11160" w:type="dxa"/>
            <w:gridSpan w:val="2"/>
            <w:tcBorders/>
            <w:tcMar>
              <w:start w:w="0" w:type="dxa"/>
              <w:end w:w="0" w:type="dxa"/>
            </w:tcMar>
          </w:tcPr>
          <w:p>
            <w:pPr>
              <w:pStyle w:val="Normal"/>
              <w:snapToGrid w:val="false"/>
              <w:rPr>
                <w:sz w:val="20"/>
              </w:rPr>
            </w:pPr>
            <w:r>
              <w:rPr>
                <w:sz w:val="20"/>
              </w:rPr>
            </w:r>
          </w:p>
        </w:tc>
      </w:tr>
      <w:tr>
        <w:trPr/>
        <w:tc>
          <w:tcPr>
            <w:tcW w:w="4050" w:type="dxa"/>
            <w:tcBorders>
              <w:top w:val="single" w:sz="6" w:space="0" w:color="000000"/>
              <w:start w:val="single" w:sz="6" w:space="0" w:color="000000"/>
              <w:bottom w:val="single" w:sz="6" w:space="0" w:color="FFFFFF"/>
              <w:end w:val="single" w:sz="6" w:space="0" w:color="000000"/>
            </w:tcBorders>
          </w:tcPr>
          <w:p>
            <w:pPr>
              <w:pStyle w:val="Normal"/>
              <w:rPr>
                <w:b/>
                <w:u w:val="single"/>
              </w:rPr>
            </w:pPr>
            <w:r>
              <w:rPr>
                <w:b/>
                <w:u w:val="single"/>
              </w:rPr>
              <w:t>Part 14:  Privatization Issues (VM)</w:t>
            </w:r>
          </w:p>
        </w:tc>
        <w:tc>
          <w:tcPr>
            <w:tcW w:w="5040" w:type="dxa"/>
            <w:tcBorders>
              <w:top w:val="single" w:sz="6" w:space="0" w:color="000000"/>
              <w:start w:val="single" w:sz="6" w:space="0" w:color="FFFFFF"/>
              <w:bottom w:val="single" w:sz="6" w:space="0" w:color="FFFFFF"/>
              <w:end w:val="single" w:sz="6" w:space="0" w:color="000000"/>
            </w:tcBorders>
          </w:tcPr>
          <w:p>
            <w:pPr>
              <w:pStyle w:val="Normal"/>
              <w:tabs>
                <w:tab w:val="clear" w:pos="720"/>
                <w:tab w:val="left" w:pos="514" w:leader="none"/>
              </w:tabs>
              <w:snapToGrid w:val="false"/>
              <w:rPr>
                <w:b/>
                <w:sz w:val="20"/>
                <w:u w:val="single"/>
              </w:rPr>
            </w:pPr>
            <w:r>
              <w:rPr>
                <w:b/>
                <w:sz w:val="20"/>
                <w:u w:val="single"/>
              </w:rPr>
            </w:r>
          </w:p>
        </w:tc>
        <w:tc>
          <w:tcPr>
            <w:tcW w:w="5040" w:type="dxa"/>
            <w:tcBorders>
              <w:top w:val="single" w:sz="6" w:space="0" w:color="000000"/>
              <w:start w:val="single" w:sz="6" w:space="0" w:color="FFFFFF"/>
              <w:bottom w:val="single" w:sz="6" w:space="0" w:color="FFFFFF"/>
              <w:end w:val="single" w:sz="6" w:space="0" w:color="000000"/>
            </w:tcBorders>
          </w:tcPr>
          <w:p>
            <w:pPr>
              <w:pStyle w:val="Normal"/>
              <w:tabs>
                <w:tab w:val="clear" w:pos="720"/>
                <w:tab w:val="left" w:pos="514" w:leader="none"/>
              </w:tabs>
              <w:snapToGrid w:val="false"/>
              <w:rPr>
                <w:sz w:val="20"/>
              </w:rPr>
            </w:pPr>
            <w:r>
              <w:rPr>
                <w:sz w:val="20"/>
              </w:rPr>
            </w:r>
          </w:p>
        </w:tc>
        <w:tc>
          <w:tcPr>
            <w:tcW w:w="11160" w:type="dxa"/>
            <w:gridSpan w:val="2"/>
            <w:tcBorders/>
            <w:tcMar>
              <w:start w:w="0" w:type="dxa"/>
              <w:end w:w="0" w:type="dxa"/>
            </w:tcMar>
          </w:tcPr>
          <w:p>
            <w:pPr>
              <w:pStyle w:val="Normal"/>
              <w:snapToGrid w:val="false"/>
              <w:rPr>
                <w:sz w:val="20"/>
              </w:rPr>
            </w:pPr>
            <w:r>
              <w:rPr>
                <w:sz w:val="20"/>
              </w:rPr>
            </w:r>
          </w:p>
        </w:tc>
      </w:tr>
      <w:tr>
        <w:trPr/>
        <w:tc>
          <w:tcPr>
            <w:tcW w:w="4050" w:type="dxa"/>
            <w:tcBorders>
              <w:top w:val="single" w:sz="6" w:space="0" w:color="000000"/>
              <w:start w:val="single" w:sz="6" w:space="0" w:color="000000"/>
              <w:end w:val="single" w:sz="6" w:space="0" w:color="000000"/>
            </w:tcBorders>
          </w:tcPr>
          <w:p>
            <w:pPr>
              <w:pStyle w:val="Heading3"/>
              <w:tabs>
                <w:tab w:val="clear" w:pos="720"/>
                <w:tab w:val="left" w:pos="514" w:leader="none"/>
              </w:tabs>
              <w:spacing w:lineRule="auto" w:line="240"/>
              <w:ind w:hanging="0" w:start="0"/>
              <w:rPr>
                <w:b w:val="false"/>
                <w:sz w:val="20"/>
                <w:u w:val="none"/>
              </w:rPr>
            </w:pPr>
            <w:r>
              <w:rPr>
                <w:b w:val="false"/>
                <w:sz w:val="20"/>
                <w:u w:val="none"/>
              </w:rPr>
              <w:t>Stock Purchase Agreement (VM/BW/JA)</w:t>
            </w:r>
          </w:p>
        </w:tc>
        <w:tc>
          <w:tcPr>
            <w:tcW w:w="5040" w:type="dxa"/>
            <w:tcBorders>
              <w:top w:val="single" w:sz="6" w:space="0" w:color="000000"/>
              <w:start w:val="single" w:sz="6" w:space="0" w:color="FFFFFF"/>
              <w:end w:val="single" w:sz="6" w:space="0" w:color="000000"/>
            </w:tcBorders>
          </w:tcPr>
          <w:p>
            <w:pPr>
              <w:pStyle w:val="Normal"/>
              <w:tabs>
                <w:tab w:val="clear" w:pos="720"/>
                <w:tab w:val="left" w:pos="514" w:leader="none"/>
              </w:tabs>
              <w:snapToGrid w:val="false"/>
              <w:rPr>
                <w:b w:val="false"/>
                <w:sz w:val="20"/>
                <w:u w:val="none"/>
              </w:rPr>
            </w:pPr>
            <w:r>
              <w:rPr>
                <w:b w:val="false"/>
                <w:sz w:val="20"/>
                <w:u w:val="none"/>
              </w:rPr>
            </w:r>
          </w:p>
        </w:tc>
        <w:tc>
          <w:tcPr>
            <w:tcW w:w="5040" w:type="dxa"/>
            <w:tcBorders>
              <w:top w:val="single" w:sz="6" w:space="0" w:color="000000"/>
              <w:start w:val="single" w:sz="6" w:space="0" w:color="FFFFFF"/>
              <w:end w:val="single" w:sz="6" w:space="0" w:color="000000"/>
            </w:tcBorders>
          </w:tcPr>
          <w:p>
            <w:pPr>
              <w:pStyle w:val="Normal"/>
              <w:tabs>
                <w:tab w:val="clear" w:pos="720"/>
                <w:tab w:val="left" w:pos="514" w:leader="none"/>
              </w:tabs>
              <w:snapToGrid w:val="false"/>
              <w:rPr>
                <w:sz w:val="20"/>
              </w:rPr>
            </w:pPr>
            <w:r>
              <w:rPr>
                <w:sz w:val="20"/>
              </w:rPr>
            </w:r>
          </w:p>
        </w:tc>
        <w:tc>
          <w:tcPr>
            <w:tcW w:w="11160" w:type="dxa"/>
            <w:gridSpan w:val="2"/>
            <w:tcBorders/>
            <w:tcMar>
              <w:start w:w="0" w:type="dxa"/>
              <w:end w:w="0" w:type="dxa"/>
            </w:tcMar>
          </w:tcPr>
          <w:p>
            <w:pPr>
              <w:pStyle w:val="Normal"/>
              <w:snapToGrid w:val="false"/>
              <w:rPr>
                <w:sz w:val="20"/>
              </w:rPr>
            </w:pPr>
            <w:r>
              <w:rPr>
                <w:sz w:val="20"/>
              </w:rPr>
            </w:r>
          </w:p>
        </w:tc>
      </w:tr>
      <w:tr>
        <w:trPr/>
        <w:tc>
          <w:tcPr>
            <w:tcW w:w="4050" w:type="dxa"/>
            <w:tcBorders>
              <w:top w:val="single" w:sz="2" w:space="0" w:color="000000"/>
              <w:start w:val="single" w:sz="2" w:space="0" w:color="000000"/>
              <w:bottom w:val="single" w:sz="2" w:space="0" w:color="000000"/>
              <w:end w:val="single" w:sz="2" w:space="0" w:color="000000"/>
            </w:tcBorders>
          </w:tcPr>
          <w:p>
            <w:pPr>
              <w:pStyle w:val="Normal"/>
              <w:rPr>
                <w:sz w:val="20"/>
              </w:rPr>
            </w:pPr>
            <w:r>
              <w:rPr>
                <w:sz w:val="20"/>
              </w:rPr>
              <w:t>Closing Issues (VM/BW)</w:t>
            </w:r>
          </w:p>
        </w:tc>
        <w:tc>
          <w:tcPr>
            <w:tcW w:w="5040" w:type="dxa"/>
            <w:tcBorders>
              <w:top w:val="single" w:sz="2" w:space="0" w:color="000000"/>
              <w:start w:val="single" w:sz="2" w:space="0" w:color="000000"/>
              <w:bottom w:val="single" w:sz="2" w:space="0" w:color="000000"/>
              <w:end w:val="single" w:sz="2" w:space="0" w:color="000000"/>
            </w:tcBorders>
          </w:tcPr>
          <w:p>
            <w:pPr>
              <w:pStyle w:val="Normal"/>
              <w:tabs>
                <w:tab w:val="clear" w:pos="720"/>
                <w:tab w:val="left" w:pos="514" w:leader="none"/>
              </w:tabs>
              <w:snapToGrid w:val="false"/>
              <w:rPr>
                <w:sz w:val="20"/>
              </w:rPr>
            </w:pPr>
            <w:r>
              <w:rPr>
                <w:sz w:val="20"/>
              </w:rPr>
            </w:r>
          </w:p>
        </w:tc>
        <w:tc>
          <w:tcPr>
            <w:tcW w:w="5040" w:type="dxa"/>
            <w:tcBorders>
              <w:top w:val="single" w:sz="2" w:space="0" w:color="000000"/>
              <w:start w:val="single" w:sz="2" w:space="0" w:color="000000"/>
              <w:bottom w:val="single" w:sz="2" w:space="0" w:color="000000"/>
              <w:end w:val="single" w:sz="2" w:space="0" w:color="000000"/>
            </w:tcBorders>
          </w:tcPr>
          <w:p>
            <w:pPr>
              <w:pStyle w:val="Normal"/>
              <w:tabs>
                <w:tab w:val="clear" w:pos="720"/>
                <w:tab w:val="left" w:pos="514" w:leader="none"/>
              </w:tabs>
              <w:snapToGrid w:val="false"/>
              <w:rPr>
                <w:sz w:val="20"/>
              </w:rPr>
            </w:pPr>
            <w:r>
              <w:rPr>
                <w:sz w:val="20"/>
              </w:rPr>
            </w:r>
          </w:p>
        </w:tc>
        <w:tc>
          <w:tcPr>
            <w:tcW w:w="11160" w:type="dxa"/>
            <w:gridSpan w:val="2"/>
            <w:tcBorders/>
            <w:tcMar>
              <w:start w:w="0" w:type="dxa"/>
              <w:end w:w="0" w:type="dxa"/>
            </w:tcMar>
          </w:tcPr>
          <w:p>
            <w:pPr>
              <w:pStyle w:val="Normal"/>
              <w:snapToGrid w:val="false"/>
              <w:rPr>
                <w:sz w:val="20"/>
              </w:rPr>
            </w:pPr>
            <w:r>
              <w:rPr>
                <w:sz w:val="20"/>
              </w:rPr>
            </w:r>
          </w:p>
        </w:tc>
      </w:tr>
      <w:tr>
        <w:trPr/>
        <w:tc>
          <w:tcPr>
            <w:tcW w:w="4050" w:type="dxa"/>
            <w:tcBorders>
              <w:start w:val="single" w:sz="2" w:space="0" w:color="000000"/>
              <w:bottom w:val="single" w:sz="2" w:space="0" w:color="000000"/>
              <w:end w:val="single" w:sz="2" w:space="0" w:color="000000"/>
            </w:tcBorders>
          </w:tcPr>
          <w:p>
            <w:pPr>
              <w:pStyle w:val="Heading3"/>
              <w:tabs>
                <w:tab w:val="clear" w:pos="720"/>
                <w:tab w:val="left" w:pos="514" w:leader="none"/>
              </w:tabs>
              <w:spacing w:lineRule="auto" w:line="240"/>
              <w:ind w:hanging="0" w:start="0"/>
              <w:rPr>
                <w:b w:val="false"/>
                <w:sz w:val="20"/>
                <w:u w:val="none"/>
              </w:rPr>
            </w:pPr>
            <w:r>
              <w:rPr>
                <w:b w:val="false"/>
                <w:sz w:val="20"/>
                <w:u w:val="none"/>
              </w:rPr>
              <w:t>Letter of Credit (VM)</w:t>
            </w:r>
          </w:p>
        </w:tc>
        <w:tc>
          <w:tcPr>
            <w:tcW w:w="5040" w:type="dxa"/>
            <w:tcBorders>
              <w:start w:val="single" w:sz="2" w:space="0" w:color="000000"/>
              <w:bottom w:val="single" w:sz="2" w:space="0" w:color="000000"/>
              <w:end w:val="single" w:sz="2" w:space="0" w:color="000000"/>
            </w:tcBorders>
          </w:tcPr>
          <w:p>
            <w:pPr>
              <w:pStyle w:val="Normal"/>
              <w:tabs>
                <w:tab w:val="clear" w:pos="720"/>
                <w:tab w:val="left" w:pos="514" w:leader="none"/>
              </w:tabs>
              <w:snapToGrid w:val="false"/>
              <w:rPr>
                <w:b w:val="false"/>
                <w:sz w:val="20"/>
                <w:u w:val="none"/>
              </w:rPr>
            </w:pPr>
            <w:r>
              <w:rPr>
                <w:b w:val="false"/>
                <w:sz w:val="20"/>
                <w:u w:val="none"/>
              </w:rPr>
            </w:r>
          </w:p>
        </w:tc>
        <w:tc>
          <w:tcPr>
            <w:tcW w:w="5040" w:type="dxa"/>
            <w:tcBorders>
              <w:start w:val="single" w:sz="2" w:space="0" w:color="000000"/>
              <w:bottom w:val="single" w:sz="2" w:space="0" w:color="000000"/>
              <w:end w:val="single" w:sz="2" w:space="0" w:color="000000"/>
            </w:tcBorders>
          </w:tcPr>
          <w:p>
            <w:pPr>
              <w:pStyle w:val="Normal"/>
              <w:tabs>
                <w:tab w:val="clear" w:pos="720"/>
                <w:tab w:val="left" w:pos="514" w:leader="none"/>
              </w:tabs>
              <w:snapToGrid w:val="false"/>
              <w:rPr>
                <w:sz w:val="20"/>
              </w:rPr>
            </w:pPr>
            <w:r>
              <w:rPr>
                <w:sz w:val="20"/>
              </w:rPr>
            </w:r>
          </w:p>
        </w:tc>
        <w:tc>
          <w:tcPr>
            <w:tcW w:w="11160" w:type="dxa"/>
            <w:gridSpan w:val="2"/>
            <w:tcBorders/>
            <w:tcMar>
              <w:start w:w="0" w:type="dxa"/>
              <w:end w:w="0" w:type="dxa"/>
            </w:tcMar>
          </w:tcPr>
          <w:p>
            <w:pPr>
              <w:pStyle w:val="Normal"/>
              <w:snapToGrid w:val="false"/>
              <w:rPr>
                <w:sz w:val="20"/>
              </w:rPr>
            </w:pPr>
            <w:r>
              <w:rPr>
                <w:sz w:val="20"/>
              </w:rPr>
            </w:r>
          </w:p>
        </w:tc>
      </w:tr>
      <w:tr>
        <w:trPr/>
        <w:tc>
          <w:tcPr>
            <w:tcW w:w="4050" w:type="dxa"/>
            <w:tcBorders>
              <w:start w:val="single" w:sz="2" w:space="0" w:color="000000"/>
              <w:bottom w:val="single" w:sz="2" w:space="0" w:color="000000"/>
              <w:end w:val="single" w:sz="2" w:space="0" w:color="000000"/>
            </w:tcBorders>
          </w:tcPr>
          <w:p>
            <w:pPr>
              <w:pStyle w:val="Heading3"/>
              <w:tabs>
                <w:tab w:val="clear" w:pos="720"/>
                <w:tab w:val="left" w:pos="514" w:leader="none"/>
              </w:tabs>
              <w:snapToGrid w:val="false"/>
              <w:spacing w:lineRule="auto" w:line="240"/>
              <w:ind w:hanging="0" w:start="0"/>
              <w:rPr>
                <w:b w:val="false"/>
                <w:sz w:val="20"/>
                <w:u w:val="none"/>
              </w:rPr>
            </w:pPr>
            <w:r>
              <w:rPr>
                <w:b w:val="false"/>
                <w:sz w:val="20"/>
                <w:u w:val="none"/>
              </w:rPr>
            </w:r>
          </w:p>
        </w:tc>
        <w:tc>
          <w:tcPr>
            <w:tcW w:w="5040" w:type="dxa"/>
            <w:tcBorders>
              <w:start w:val="single" w:sz="2" w:space="0" w:color="000000"/>
              <w:bottom w:val="single" w:sz="2" w:space="0" w:color="000000"/>
              <w:end w:val="single" w:sz="2" w:space="0" w:color="000000"/>
            </w:tcBorders>
          </w:tcPr>
          <w:p>
            <w:pPr>
              <w:pStyle w:val="Normal"/>
              <w:tabs>
                <w:tab w:val="clear" w:pos="720"/>
                <w:tab w:val="left" w:pos="514" w:leader="none"/>
              </w:tabs>
              <w:snapToGrid w:val="false"/>
              <w:rPr>
                <w:b w:val="false"/>
                <w:sz w:val="20"/>
                <w:u w:val="none"/>
              </w:rPr>
            </w:pPr>
            <w:r>
              <w:rPr>
                <w:b w:val="false"/>
                <w:sz w:val="20"/>
                <w:u w:val="none"/>
              </w:rPr>
            </w:r>
          </w:p>
        </w:tc>
        <w:tc>
          <w:tcPr>
            <w:tcW w:w="5040" w:type="dxa"/>
            <w:tcBorders>
              <w:start w:val="single" w:sz="2" w:space="0" w:color="000000"/>
              <w:bottom w:val="single" w:sz="2" w:space="0" w:color="000000"/>
              <w:end w:val="single" w:sz="2" w:space="0" w:color="000000"/>
            </w:tcBorders>
          </w:tcPr>
          <w:p>
            <w:pPr>
              <w:pStyle w:val="Normal"/>
              <w:tabs>
                <w:tab w:val="clear" w:pos="720"/>
                <w:tab w:val="left" w:pos="514" w:leader="none"/>
              </w:tabs>
              <w:snapToGrid w:val="false"/>
              <w:rPr>
                <w:sz w:val="20"/>
              </w:rPr>
            </w:pPr>
            <w:r>
              <w:rPr>
                <w:sz w:val="20"/>
              </w:rPr>
            </w:r>
          </w:p>
        </w:tc>
        <w:tc>
          <w:tcPr>
            <w:tcW w:w="11160" w:type="dxa"/>
            <w:gridSpan w:val="2"/>
            <w:tcBorders/>
            <w:tcMar>
              <w:start w:w="0" w:type="dxa"/>
              <w:end w:w="0" w:type="dxa"/>
            </w:tcMar>
          </w:tcPr>
          <w:p>
            <w:pPr>
              <w:pStyle w:val="Normal"/>
              <w:snapToGrid w:val="false"/>
              <w:rPr>
                <w:sz w:val="20"/>
              </w:rPr>
            </w:pPr>
            <w:r>
              <w:rPr>
                <w:sz w:val="20"/>
              </w:rPr>
            </w:r>
          </w:p>
        </w:tc>
      </w:tr>
    </w:tbl>
    <w:p>
      <w:pPr>
        <w:pStyle w:val="Normal"/>
        <w:tabs>
          <w:tab w:val="clear" w:pos="720"/>
          <w:tab w:val="left" w:pos="514" w:leader="none"/>
        </w:tabs>
        <w:rPr>
          <w:sz w:val="20"/>
        </w:rPr>
      </w:pPr>
      <w:r>
        <w:rPr>
          <w:sz w:val="20"/>
        </w:rPr>
      </w:r>
    </w:p>
    <w:sectPr>
      <w:headerReference w:type="default" r:id="rId2"/>
      <w:headerReference w:type="first" r:id="rId3"/>
      <w:footerReference w:type="default" r:id="rId4"/>
      <w:footerReference w:type="first" r:id="rId5"/>
      <w:footnotePr>
        <w:numFmt w:val="decimal"/>
      </w:footnotePr>
      <w:type w:val="nextPage"/>
      <w:pgSz w:orient="landscape" w:w="15840" w:h="12240"/>
      <w:pgMar w:left="720" w:right="720" w:gutter="0" w:header="1440" w:top="1496" w:footer="720" w:bottom="77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tabs>
        <w:tab w:val="clear" w:pos="720"/>
        <w:tab w:val="left" w:pos="0" w:leader="none"/>
      </w:tabs>
      <w:jc w:val="both"/>
      <w:rPr>
        <w:sz w:val="20"/>
      </w:rPr>
    </w:pPr>
    <w:r>
      <w:rPr>
        <w:sz w:val="20"/>
      </w:rPr>
    </w:r>
  </w:p>
  <w:p>
    <w:pPr>
      <w:pStyle w:val="Normal"/>
      <w:tabs>
        <w:tab w:val="clear" w:pos="720"/>
        <w:tab w:val="left" w:pos="0" w:leader="none"/>
      </w:tabs>
      <w:jc w:val="both"/>
      <w:rPr>
        <w:sz w:val="16"/>
      </w:rPr>
    </w:pPr>
    <w:r>
      <w:rPr>
        <w:sz w:val="16"/>
      </w:rPr>
      <w:fldChar w:fldCharType="begin"/>
    </w:r>
    <w:r>
      <w:rPr>
        <w:sz w:val="16"/>
      </w:rPr>
      <w:instrText xml:space="preserve"> FILENAME \p </w:instrText>
    </w:r>
    <w:r>
      <w:rPr>
        <w:sz w:val="16"/>
      </w:rPr>
      <w:fldChar w:fldCharType="separate"/>
    </w:r>
    <w:r>
      <w:rPr>
        <w:sz w:val="16"/>
      </w:rPr>
      <w:t>/mnt/main-storage/datasets/enron-docs/doc/Guatemalariskmetrix.doc</w:t>
    </w:r>
    <w:r>
      <w:rPr>
        <w:sz w:val="16"/>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widowControl/>
        <w:spacing w:before="60" w:after="60"/>
        <w:ind w:hanging="360" w:start="360" w:end="0"/>
        <w:rPr/>
      </w:pPr>
      <w:r>
        <w:rPr>
          <w:rStyle w:val="FootnoteCharacters"/>
        </w:rPr>
        <w:footnoteRef/>
      </w:r>
      <w:r>
        <w:rPr/>
        <w:t xml:space="preserve">  </w:t>
      </w:r>
      <w:r>
        <w:rPr/>
        <w:tab/>
        <w:t xml:space="preserve">Examples of clear language for uneconomic connection in Central America include Law 6 of Panama (Chapter VII). </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4130" w:type="dxa"/>
      <w:jc w:val="start"/>
      <w:tblInd w:w="127" w:type="dxa"/>
      <w:tblLayout w:type="fixed"/>
      <w:tblCellMar>
        <w:top w:w="0" w:type="dxa"/>
        <w:start w:w="127" w:type="dxa"/>
        <w:bottom w:w="0" w:type="dxa"/>
        <w:end w:w="127" w:type="dxa"/>
      </w:tblCellMar>
    </w:tblPr>
    <w:tblGrid>
      <w:gridCol w:w="4050"/>
      <w:gridCol w:w="5040"/>
      <w:gridCol w:w="5040"/>
    </w:tblGrid>
    <w:tr>
      <w:trPr/>
      <w:tc>
        <w:tcPr>
          <w:tcW w:w="4050" w:type="dxa"/>
          <w:tcBorders>
            <w:top w:val="single" w:sz="18" w:space="0" w:color="000000"/>
            <w:start w:val="single" w:sz="18" w:space="0" w:color="000000"/>
            <w:bottom w:val="single" w:sz="18" w:space="0" w:color="000000"/>
            <w:end w:val="single" w:sz="18" w:space="0" w:color="000000"/>
          </w:tcBorders>
        </w:tcPr>
        <w:p>
          <w:pPr>
            <w:pStyle w:val="Normal"/>
            <w:tabs>
              <w:tab w:val="clear" w:pos="720"/>
              <w:tab w:val="left" w:pos="514" w:leader="none"/>
            </w:tabs>
            <w:spacing w:before="0" w:after="163"/>
            <w:ind w:start="-127" w:end="0"/>
            <w:jc w:val="center"/>
            <w:rPr>
              <w:b/>
            </w:rPr>
          </w:pPr>
          <w:r>
            <w:rPr>
              <w:b/>
            </w:rPr>
            <w:t>Item</w:t>
          </w:r>
        </w:p>
      </w:tc>
      <w:tc>
        <w:tcPr>
          <w:tcW w:w="5040" w:type="dxa"/>
          <w:tcBorders>
            <w:top w:val="single" w:sz="18" w:space="0" w:color="000000"/>
            <w:start w:val="single" w:sz="18" w:space="0" w:color="000000"/>
            <w:bottom w:val="single" w:sz="18" w:space="0" w:color="000000"/>
            <w:end w:val="single" w:sz="18" w:space="0" w:color="000000"/>
          </w:tcBorders>
        </w:tcPr>
        <w:p>
          <w:pPr>
            <w:pStyle w:val="Heading6"/>
            <w:spacing w:before="0" w:after="163"/>
            <w:rPr/>
          </w:pPr>
          <w:r>
            <w:rPr/>
            <w:t>Risks</w:t>
          </w:r>
        </w:p>
      </w:tc>
      <w:tc>
        <w:tcPr>
          <w:tcW w:w="5040" w:type="dxa"/>
          <w:tcBorders>
            <w:top w:val="single" w:sz="18" w:space="0" w:color="000000"/>
            <w:start w:val="single" w:sz="18" w:space="0" w:color="000000"/>
            <w:bottom w:val="single" w:sz="18" w:space="0" w:color="000000"/>
            <w:end w:val="single" w:sz="18" w:space="0" w:color="000000"/>
          </w:tcBorders>
        </w:tcPr>
        <w:p>
          <w:pPr>
            <w:pStyle w:val="Normal"/>
            <w:tabs>
              <w:tab w:val="clear" w:pos="720"/>
              <w:tab w:val="left" w:pos="514" w:leader="none"/>
            </w:tabs>
            <w:spacing w:before="0" w:after="163"/>
            <w:ind w:start="-127" w:end="0"/>
            <w:jc w:val="center"/>
            <w:rPr>
              <w:b/>
            </w:rPr>
          </w:pPr>
          <w:r>
            <w:rPr>
              <w:b/>
            </w:rPr>
            <w:t>Comments/Mitigants</w:t>
          </w:r>
        </w:p>
      </w:tc>
    </w:tr>
  </w:tbl>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abstractNum w:abstractNumId="3">
    <w:lvl w:ilvl="0">
      <w:start w:val="1"/>
      <w:numFmt w:val="decimal"/>
      <w:lvlText w:val="%1"/>
      <w:lvlJc w:val="start"/>
      <w:pPr>
        <w:tabs>
          <w:tab w:val="num" w:pos="360"/>
        </w:tabs>
        <w:ind w:start="360" w:hanging="360"/>
      </w:pPr>
    </w:lvl>
  </w:abstractNum>
  <w:abstractNum w:abstractNumId="4">
    <w:lvl w:ilvl="0">
      <w:start w:val="1"/>
      <w:numFmt w:val="decimal"/>
      <w:lvlText w:val="%1."/>
      <w:lvlJc w:val="start"/>
      <w:pPr>
        <w:tabs>
          <w:tab w:val="num" w:pos="360"/>
        </w:tabs>
        <w:ind w:start="360" w:hanging="360"/>
      </w:pPr>
    </w:lvl>
  </w:abstractNum>
  <w:abstractNum w:abstractNumId="5">
    <w:lvl w:ilvl="0">
      <w:start w:val="8"/>
      <w:numFmt w:val="bullet"/>
      <w:lvlText w:val="-"/>
      <w:lvlJc w:val="start"/>
      <w:pPr>
        <w:tabs>
          <w:tab w:val="num" w:pos="360"/>
        </w:tabs>
        <w:ind w:start="360" w:hanging="360"/>
      </w:pPr>
      <w:rPr>
        <w:rFonts w:ascii="Liberation Serif" w:hAnsi="Liberation Serif" w:cs="Liberation Serif" w:hint="default"/>
      </w:rPr>
    </w:lvl>
  </w:abstractNum>
  <w:abstractNum w:abstractNumId="6">
    <w:lvl w:ilvl="0">
      <w:start w:val="8"/>
      <w:numFmt w:val="bullet"/>
      <w:lvlText w:val="-"/>
      <w:lvlJc w:val="start"/>
      <w:pPr>
        <w:tabs>
          <w:tab w:val="num" w:pos="360"/>
        </w:tabs>
        <w:ind w:start="360" w:hanging="360"/>
      </w:pPr>
      <w:rPr>
        <w:rFonts w:ascii="Liberation Serif" w:hAnsi="Liberation Serif" w:cs="Liberation Serif" w:hint="default"/>
      </w:rPr>
    </w:lvl>
  </w:abstractNum>
  <w:abstractNum w:abstractNumId="7">
    <w:lvl w:ilvl="0">
      <w:start w:val="1"/>
      <w:numFmt w:val="decimal"/>
      <w:lvlText w:val="%1."/>
      <w:lvlJc w:val="start"/>
      <w:pPr>
        <w:tabs>
          <w:tab w:val="num" w:pos="360"/>
        </w:tabs>
        <w:ind w:start="360" w:hanging="360"/>
      </w:pPr>
    </w:lvl>
  </w:abstractNum>
  <w:abstractNum w:abstractNumId="8">
    <w:lvl w:ilvl="0">
      <w:start w:val="1"/>
      <w:numFmt w:val="decimal"/>
      <w:lvlText w:val="%1"/>
      <w:lvlJc w:val="start"/>
      <w:pPr>
        <w:tabs>
          <w:tab w:val="num" w:pos="360"/>
        </w:tabs>
        <w:ind w:start="360" w:hanging="360"/>
      </w:pPr>
    </w:lvl>
  </w:abstractNum>
  <w:abstractNum w:abstractNumId="9">
    <w:lvl w:ilvl="0">
      <w:start w:val="1"/>
      <w:numFmt w:val="decimal"/>
      <w:lvlText w:val="%1"/>
      <w:lvlJc w:val="start"/>
      <w:pPr>
        <w:tabs>
          <w:tab w:val="num" w:pos="360"/>
        </w:tabs>
        <w:ind w:start="360" w:hanging="360"/>
      </w:pPr>
    </w:lvl>
  </w:abstractNum>
  <w:abstractNum w:abstractNumId="10">
    <w:lvl w:ilvl="0">
      <w:start w:val="1"/>
      <w:numFmt w:val="decimal"/>
      <w:lvlText w:val="%1."/>
      <w:lvlJc w:val="start"/>
      <w:pPr>
        <w:tabs>
          <w:tab w:val="num" w:pos="360"/>
        </w:tabs>
        <w:ind w:start="360" w:hanging="360"/>
      </w:pPr>
    </w:lvl>
  </w:abstractNum>
  <w:abstractNum w:abstractNumId="11">
    <w:lvl w:ilvl="0">
      <w:start w:val="1"/>
      <w:numFmt w:val="decimal"/>
      <w:lvlText w:val="%1"/>
      <w:lvlJc w:val="start"/>
      <w:pPr>
        <w:tabs>
          <w:tab w:val="num" w:pos="360"/>
        </w:tabs>
        <w:ind w:start="36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paragraph" w:styleId="Heading1">
    <w:name w:val="heading 1"/>
    <w:basedOn w:val="Normal"/>
    <w:next w:val="Normal"/>
    <w:qFormat/>
    <w:pPr>
      <w:keepNext w:val="true"/>
      <w:numPr>
        <w:ilvl w:val="0"/>
        <w:numId w:val="1"/>
      </w:numPr>
      <w:tabs>
        <w:tab w:val="clear" w:pos="720"/>
        <w:tab w:val="left" w:pos="514" w:leader="none"/>
      </w:tabs>
      <w:ind w:hanging="0" w:start="-4447" w:end="-5167"/>
      <w:jc w:val="center"/>
      <w:outlineLvl w:val="0"/>
    </w:pPr>
    <w:rPr>
      <w:b/>
      <w:sz w:val="28"/>
    </w:rPr>
  </w:style>
  <w:style w:type="paragraph" w:styleId="Heading2">
    <w:name w:val="heading 2"/>
    <w:basedOn w:val="Normal"/>
    <w:next w:val="Normal"/>
    <w:qFormat/>
    <w:pPr>
      <w:keepNext w:val="true"/>
      <w:numPr>
        <w:ilvl w:val="1"/>
        <w:numId w:val="1"/>
      </w:numPr>
      <w:tabs>
        <w:tab w:val="clear" w:pos="720"/>
        <w:tab w:val="left" w:pos="514" w:leader="none"/>
      </w:tabs>
      <w:ind w:hanging="0" w:start="-4537" w:end="-5167"/>
      <w:jc w:val="center"/>
      <w:outlineLvl w:val="1"/>
    </w:pPr>
    <w:rPr>
      <w:b/>
      <w:sz w:val="28"/>
    </w:rPr>
  </w:style>
  <w:style w:type="paragraph" w:styleId="Heading3">
    <w:name w:val="heading 3"/>
    <w:basedOn w:val="Normal"/>
    <w:next w:val="Normal"/>
    <w:qFormat/>
    <w:pPr>
      <w:keepNext w:val="true"/>
      <w:numPr>
        <w:ilvl w:val="2"/>
        <w:numId w:val="1"/>
      </w:numPr>
      <w:spacing w:lineRule="exact" w:line="163"/>
      <w:outlineLvl w:val="2"/>
    </w:pPr>
    <w:rPr>
      <w:b/>
      <w:u w:val="single"/>
    </w:rPr>
  </w:style>
  <w:style w:type="paragraph" w:styleId="Heading4">
    <w:name w:val="heading 4"/>
    <w:basedOn w:val="Normal"/>
    <w:next w:val="Normal"/>
    <w:qFormat/>
    <w:pPr>
      <w:keepNext w:val="true"/>
      <w:numPr>
        <w:ilvl w:val="3"/>
        <w:numId w:val="1"/>
      </w:numPr>
      <w:tabs>
        <w:tab w:val="clear" w:pos="720"/>
        <w:tab w:val="left" w:pos="514" w:leader="none"/>
      </w:tabs>
      <w:ind w:hanging="0" w:start="-127" w:end="-127"/>
      <w:jc w:val="center"/>
      <w:outlineLvl w:val="3"/>
    </w:pPr>
    <w:rPr>
      <w:b/>
      <w:sz w:val="28"/>
    </w:rPr>
  </w:style>
  <w:style w:type="paragraph" w:styleId="Heading5">
    <w:name w:val="heading 5"/>
    <w:basedOn w:val="Normal"/>
    <w:next w:val="Normal"/>
    <w:qFormat/>
    <w:pPr>
      <w:keepNext w:val="true"/>
      <w:numPr>
        <w:ilvl w:val="4"/>
        <w:numId w:val="1"/>
      </w:numPr>
      <w:tabs>
        <w:tab w:val="clear" w:pos="720"/>
        <w:tab w:val="left" w:pos="514" w:leader="none"/>
      </w:tabs>
      <w:spacing w:before="0" w:after="163"/>
      <w:outlineLvl w:val="4"/>
    </w:pPr>
    <w:rPr>
      <w:b/>
      <w:i/>
      <w:sz w:val="20"/>
      <w:u w:val="single"/>
    </w:rPr>
  </w:style>
  <w:style w:type="paragraph" w:styleId="Heading6">
    <w:name w:val="heading 6"/>
    <w:basedOn w:val="Normal"/>
    <w:next w:val="Normal"/>
    <w:qFormat/>
    <w:pPr>
      <w:keepNext w:val="true"/>
      <w:numPr>
        <w:ilvl w:val="5"/>
        <w:numId w:val="1"/>
      </w:numPr>
      <w:tabs>
        <w:tab w:val="clear" w:pos="720"/>
        <w:tab w:val="left" w:pos="514" w:leader="none"/>
      </w:tabs>
      <w:spacing w:before="0" w:after="163"/>
      <w:ind w:hanging="0" w:start="-127" w:end="0"/>
      <w:jc w:val="center"/>
      <w:outlineLvl w:val="5"/>
    </w:pPr>
    <w:rPr>
      <w:b/>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12z0">
    <w:name w:val="WW8Num12z0"/>
    <w:qFormat/>
    <w:rPr/>
  </w:style>
  <w:style w:type="character" w:styleId="DefaultParagraphFont">
    <w:name w:val="Default Paragraph Font"/>
    <w:qFormat/>
    <w:rPr/>
  </w:style>
  <w:style w:type="character" w:styleId="FootnoteCharacters">
    <w:name w:val="Footnote Characters"/>
    <w:qForma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color w:val="FF000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ootnoteText">
    <w:name w:val="footnote text"/>
    <w:basedOn w:val="Normal"/>
    <w:pPr>
      <w:widowControl/>
      <w:spacing w:before="60" w:after="60"/>
      <w:ind w:hanging="360" w:start="360" w:end="0"/>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otnotes" Target="footnotes.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298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1998-07-20T17:56:00Z</dcterms:created>
  <dc:creator>vmartine</dc:creator>
  <dc:description/>
  <dc:language>en-CA</dc:language>
  <cp:lastModifiedBy>jwilson</cp:lastModifiedBy>
  <cp:lastPrinted>1998-07-21T11:09:00Z</cp:lastPrinted>
  <dcterms:modified xsi:type="dcterms:W3CDTF">1999-01-14T16:09:00Z</dcterms:modified>
  <cp:revision>19</cp:revision>
  <dc:subject/>
  <dc:title>GUATEMALA ELECTRIC DISTRIBUTION </dc:title>
</cp:coreProperties>
</file>