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Draft of 06/07/2000</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w:t>
      </w:r>
      <w:r>
        <w:rPr>
          <w:sz w:val="22"/>
          <w:u w:val="single"/>
        </w:rPr>
        <w:tab/>
        <w:tab/>
      </w:r>
      <w:r>
        <w:rPr>
          <w:sz w:val="22"/>
        </w:rPr>
        <w:t xml:space="preserve">, a </w:t>
      </w:r>
      <w:r>
        <w:rPr>
          <w:sz w:val="22"/>
          <w:u w:val="single"/>
        </w:rPr>
        <w:tab/>
        <w:tab/>
        <w:tab/>
      </w:r>
      <w:r>
        <w:rPr>
          <w:sz w:val="22"/>
        </w:rPr>
        <w:t xml:space="preserve"> corporation (“Counterparty”) and ENRON NORTH AMERICA CORP. </w:t>
      </w:r>
      <w:r>
        <w:rPr>
          <w:color w:val="FF0000"/>
          <w:sz w:val="22"/>
        </w:rPr>
        <w:t>[</w:t>
      </w:r>
      <w:r>
        <w:rPr>
          <w:sz w:val="22"/>
        </w:rPr>
        <w:t>_______________________</w:t>
      </w:r>
      <w:r>
        <w:rPr>
          <w:color w:val="FF0000"/>
          <w:sz w:val="22"/>
        </w:rPr>
        <w:t>]</w:t>
      </w:r>
      <w:r>
        <w:rPr>
          <w:sz w:val="22"/>
        </w:rPr>
        <w:t xml:space="preserve">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w:t>
      </w:r>
      <w:r>
        <w:rPr>
          <w:color w:val="FF0000"/>
          <w:sz w:val="22"/>
        </w:rPr>
        <w:t>[</w:t>
      </w:r>
      <w:r>
        <w:rPr>
          <w:sz w:val="22"/>
        </w:rPr>
        <w:t>the Master Agreement of even date herewith (the “Master Agreement”)</w:t>
      </w:r>
      <w:r>
        <w:rPr>
          <w:color w:val="FF0000"/>
          <w:sz w:val="22"/>
        </w:rPr>
        <w:t>][</w:t>
      </w:r>
      <w:r>
        <w:rPr>
          <w:sz w:val="22"/>
        </w:rPr>
        <w:t>the Confirmation of even date herewith (the “Current Confirmation”)</w:t>
      </w:r>
      <w:r>
        <w:rPr>
          <w:color w:val="FF0000"/>
          <w:sz w:val="22"/>
        </w:rPr>
        <w:t>]</w:t>
      </w:r>
      <w:r>
        <w:rPr>
          <w:sz w:val="22"/>
        </w:rPr>
        <w:t xml:space="preserve">(all such swap, option or other financially-settled derivative transactions and the agreements evidencing same, including without limitation, the </w:t>
      </w:r>
      <w:r>
        <w:rPr>
          <w:color w:val="FF0000"/>
          <w:sz w:val="22"/>
        </w:rPr>
        <w:t>[</w:t>
      </w:r>
      <w:r>
        <w:rPr>
          <w:sz w:val="22"/>
        </w:rPr>
        <w:t>Master Agreement</w:t>
      </w:r>
      <w:r>
        <w:rPr>
          <w:color w:val="FF0000"/>
          <w:sz w:val="22"/>
        </w:rPr>
        <w:t>][</w:t>
      </w:r>
      <w:r>
        <w:rPr>
          <w:sz w:val="22"/>
        </w:rPr>
        <w:t>Current Confirmation</w:t>
      </w:r>
      <w:r>
        <w:rPr>
          <w:color w:val="FF0000"/>
          <w:sz w:val="22"/>
        </w:rPr>
        <w:t>]</w:t>
      </w:r>
      <w:r>
        <w:rPr>
          <w:sz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$________.</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Upon the occurrence and during the continuance of an Event of Default </w:t>
      </w:r>
      <w:r>
        <w:rPr>
          <w:color w:val="FF0000"/>
          <w:sz w:val="22"/>
        </w:rPr>
        <w:t>[</w:t>
      </w:r>
      <w:r>
        <w:rPr>
          <w:sz w:val="22"/>
        </w:rPr>
        <w:t>or Termination Event</w:t>
      </w:r>
      <w:r>
        <w:rPr>
          <w:color w:val="FF0000"/>
          <w:sz w:val="22"/>
        </w:rPr>
        <w:t>]</w:t>
      </w:r>
      <w:r>
        <w:rPr>
          <w:sz w:val="22"/>
        </w:rPr>
        <w:t>,</w:t>
      </w:r>
      <w:r>
        <w:rPr>
          <w:rStyle w:val="FootnoteCharacters"/>
          <w:rStyle w:val="FootnoteReference"/>
          <w:color w:val="FF0000"/>
          <w:sz w:val="22"/>
        </w:rPr>
        <w:footnoteReference w:id="2"/>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200_,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sectPr>
          <w:headerReference w:type="default" r:id="rId2"/>
          <w:footerReference w:type="default" r:id="rId3"/>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rPr>
          <w:sz w:val="22"/>
        </w:rPr>
      </w:pPr>
      <w:r>
        <w:rPr>
          <w:sz w:val="22"/>
        </w:rPr>
      </w:r>
    </w:p>
    <w:p>
      <w:pPr>
        <w:pStyle w:val="Normal"/>
        <w:spacing w:lineRule="exact" w:line="240"/>
        <w:ind w:end="720"/>
        <w:jc w:val="center"/>
        <w:rPr>
          <w:b/>
          <w:sz w:val="22"/>
        </w:rPr>
      </w:pPr>
      <w:r>
        <w:rPr>
          <w:b/>
          <w:sz w:val="22"/>
          <w:u w:val="single"/>
        </w:rPr>
        <w:t xml:space="preserve">EXHIBIT </w:t>
      </w:r>
      <w:r>
        <w:rPr>
          <w:b/>
          <w:color w:val="FF0000"/>
          <w:sz w:val="22"/>
          <w:u w:val="single"/>
        </w:rPr>
        <w:t>[A][B]</w:t>
      </w:r>
    </w:p>
    <w:p>
      <w:pPr>
        <w:pStyle w:val="Normal"/>
        <w:spacing w:lineRule="exact" w:line="240"/>
        <w:ind w:end="720"/>
        <w:jc w:val="center"/>
        <w:rPr>
          <w:b/>
          <w:sz w:val="22"/>
        </w:rPr>
      </w:pPr>
      <w:r>
        <w:rPr>
          <w:b/>
          <w:sz w:val="22"/>
        </w:rPr>
      </w:r>
    </w:p>
    <w:p>
      <w:pPr>
        <w:pStyle w:val="Normal"/>
        <w:spacing w:lineRule="exact" w:line="240"/>
        <w:ind w:end="720"/>
        <w:jc w:val="center"/>
        <w:rPr>
          <w:b/>
          <w:color w:val="000000"/>
          <w:sz w:val="22"/>
        </w:rPr>
      </w:pPr>
      <w:r>
        <w:rPr>
          <w:b/>
          <w:color w:val="FF0000"/>
          <w:sz w:val="22"/>
        </w:rPr>
        <w:t>[</w:t>
      </w:r>
      <w:r>
        <w:rPr>
          <w:b/>
          <w:color w:val="000000"/>
          <w:sz w:val="22"/>
        </w:rPr>
        <w:t>GUARANTOR</w:t>
      </w:r>
      <w:r>
        <w:rPr>
          <w:b/>
          <w:color w:val="FF0000"/>
          <w:sz w:val="22"/>
        </w:rPr>
        <w:t>]</w:t>
      </w:r>
    </w:p>
    <w:p>
      <w:pPr>
        <w:pStyle w:val="Normal"/>
        <w:ind w:end="720"/>
        <w:jc w:val="center"/>
        <w:rPr>
          <w:b/>
          <w:color w:val="000000"/>
          <w:sz w:val="22"/>
        </w:rPr>
      </w:pPr>
      <w:r>
        <w:rPr>
          <w:b/>
          <w:color w:val="000000"/>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tab/>
      </w:r>
      <w:r>
        <w:rPr>
          <w:sz w:val="22"/>
        </w:rPr>
        <w:t>, 200</w:t>
      </w:r>
      <w:r>
        <w:rPr>
          <w:sz w:val="22"/>
          <w:u w:val="single"/>
        </w:rPr>
        <w:tab/>
      </w:r>
      <w:r>
        <w:rPr>
          <w:sz w:val="22"/>
        </w:rPr>
        <w:t xml:space="preserve">, is made and entered into by </w:t>
      </w:r>
      <w:r>
        <w:rPr>
          <w:b/>
          <w:sz w:val="22"/>
          <w:u w:val="single"/>
        </w:rPr>
        <w:t>[GUARANTOR]</w:t>
      </w:r>
      <w:r>
        <w:rPr>
          <w:sz w:val="22"/>
        </w:rPr>
        <w:t xml:space="preserve">, a </w:t>
      </w:r>
      <w:r>
        <w:rPr>
          <w:sz w:val="22"/>
          <w:u w:val="single"/>
        </w:rPr>
        <w:tab/>
        <w:tab/>
      </w:r>
      <w:r>
        <w:rPr>
          <w:sz w:val="22"/>
        </w:rPr>
        <w:t xml:space="preserve"> corporation (“Guarantor”).</w:t>
      </w:r>
    </w:p>
    <w:p>
      <w:pPr>
        <w:pStyle w:val="Normal"/>
        <w:spacing w:lineRule="atLeast" w:line="240"/>
        <w:jc w:val="both"/>
        <w:rPr>
          <w:sz w:val="22"/>
        </w:rPr>
      </w:pPr>
      <w:r>
        <w:rPr>
          <w:sz w:val="22"/>
        </w:rPr>
      </w:r>
    </w:p>
    <w:p>
      <w:pPr>
        <w:pStyle w:val="Normal"/>
        <w:keepNext w:val="true"/>
        <w:spacing w:lineRule="atLeast" w:line="24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w:t>
      </w:r>
      <w:r>
        <w:rPr>
          <w:sz w:val="22"/>
          <w:u w:val="single"/>
        </w:rPr>
        <w:tab/>
        <w:tab/>
        <w:tab/>
        <w:tab/>
      </w:r>
      <w:r>
        <w:rPr>
          <w:sz w:val="22"/>
        </w:rPr>
        <w:t xml:space="preserve">, a wholly owned subsidiary of Guarantor (“Counterparty”) and </w:t>
      </w:r>
      <w:r>
        <w:rPr>
          <w:color w:val="FF0000"/>
          <w:sz w:val="22"/>
        </w:rPr>
        <w:t>[</w:t>
      </w:r>
      <w:r>
        <w:rPr>
          <w:caps/>
          <w:sz w:val="22"/>
        </w:rPr>
        <w:t>Enron NORTH AMERICA Corp.</w:t>
      </w:r>
      <w:r>
        <w:rPr>
          <w:sz w:val="22"/>
        </w:rPr>
        <w:t>, a Delaware corporation</w:t>
      </w:r>
      <w:r>
        <w:rPr>
          <w:color w:val="FF0000"/>
          <w:sz w:val="22"/>
        </w:rPr>
        <w:t>][</w:t>
      </w:r>
      <w:r>
        <w:rPr>
          <w:sz w:val="22"/>
          <w:u w:val="single"/>
        </w:rPr>
        <w:t>insert Enron affiliate</w:t>
      </w:r>
      <w:r>
        <w:rPr>
          <w:sz w:val="22"/>
        </w:rPr>
        <w:t>, a _____________ corporation</w:t>
      </w:r>
      <w:r>
        <w:rPr>
          <w:color w:val="FF0000"/>
          <w:sz w:val="22"/>
        </w:rPr>
        <w:t>]</w:t>
      </w:r>
      <w:r>
        <w:rPr>
          <w:sz w:val="22"/>
        </w:rPr>
        <w:t xml:space="preserve"> (“Enron”), are contemplating entering into one or more swap, option or other financially-settled derivative transactions, which transactions will be evidenced by one or more swap agreements, confirmations and/or master agreements, including without limitation, </w:t>
      </w:r>
      <w:r>
        <w:rPr>
          <w:color w:val="FF0000"/>
          <w:sz w:val="22"/>
        </w:rPr>
        <w:t>[</w:t>
      </w:r>
      <w:r>
        <w:rPr>
          <w:sz w:val="22"/>
        </w:rPr>
        <w:t>the Master Agreement of even date herewith (the “Master Agreement”)</w:t>
      </w:r>
      <w:r>
        <w:rPr>
          <w:color w:val="FF0000"/>
          <w:sz w:val="22"/>
        </w:rPr>
        <w:t>][</w:t>
      </w:r>
      <w:r>
        <w:rPr>
          <w:sz w:val="22"/>
        </w:rPr>
        <w:t>the Confirmation of even date herewith (the “Current Confirmation”)</w:t>
      </w:r>
      <w:r>
        <w:rPr>
          <w:color w:val="FF0000"/>
          <w:sz w:val="22"/>
        </w:rPr>
        <w:t>]</w:t>
      </w:r>
      <w:r>
        <w:rPr>
          <w:sz w:val="22"/>
        </w:rPr>
        <w:t xml:space="preserve">(all such swap, option or other financially-settled derivative transactions and the agreements evidencing same, including without limitation, the </w:t>
      </w:r>
      <w:r>
        <w:rPr>
          <w:color w:val="FF0000"/>
          <w:sz w:val="22"/>
        </w:rPr>
        <w:t>[</w:t>
      </w:r>
      <w:r>
        <w:rPr>
          <w:sz w:val="22"/>
        </w:rPr>
        <w:t>Master Agreement</w:t>
      </w:r>
      <w:r>
        <w:rPr>
          <w:color w:val="FF0000"/>
          <w:sz w:val="22"/>
        </w:rPr>
        <w:t>][</w:t>
      </w:r>
      <w:r>
        <w:rPr>
          <w:sz w:val="22"/>
        </w:rPr>
        <w:t>Current Confirmation</w:t>
      </w:r>
      <w:r>
        <w:rPr>
          <w:color w:val="FF0000"/>
          <w:sz w:val="22"/>
        </w:rPr>
        <w:t>]</w:t>
      </w:r>
      <w:r>
        <w:rPr>
          <w:sz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Enron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2"/>
        </w:rPr>
      </w:pPr>
      <w:r>
        <w:rPr>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rPr/>
      </w:pPr>
      <w:r>
        <w:rPr/>
        <w:t>(b)  The aggregate amount covered by this Guaranty shall not exceed U.S. $_____________.</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Upon the occurrence and during the continuance of an Event of Default </w:t>
      </w:r>
      <w:r>
        <w:rPr>
          <w:color w:val="FF0000"/>
          <w:sz w:val="22"/>
        </w:rPr>
        <w:t>[</w:t>
      </w:r>
      <w:r>
        <w:rPr>
          <w:sz w:val="22"/>
        </w:rPr>
        <w:t>or Termination Event</w:t>
      </w:r>
      <w:r>
        <w:rPr>
          <w:color w:val="FF0000"/>
          <w:sz w:val="22"/>
        </w:rPr>
        <w:t>]</w:t>
      </w:r>
      <w:r>
        <w:rPr>
          <w:sz w:val="22"/>
        </w:rPr>
        <w:t>,</w:t>
      </w:r>
      <w:r>
        <w:rPr>
          <w:rStyle w:val="FootnoteCharacters"/>
          <w:rStyle w:val="FootnoteReference"/>
          <w:color w:val="FF0000"/>
          <w:sz w:val="22"/>
        </w:rPr>
        <w:footnoteReference w:customMarkFollows="1" w:id="3"/>
        <w:t>1</w:t>
      </w:r>
      <w:r>
        <w:rPr>
          <w:sz w:val="22"/>
        </w:rPr>
        <w:t xml:space="preserve">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pPr>
      <w:r>
        <w:rPr>
          <w:sz w:val="22"/>
        </w:rPr>
        <w:t xml:space="preserve">(a)  it is a corporation duly organized and validly existing under the laws of the State </w:t>
      </w:r>
      <w:r>
        <w:rPr>
          <w:color w:val="FF0000"/>
          <w:sz w:val="22"/>
        </w:rPr>
        <w:t>[</w:t>
      </w:r>
      <w:r>
        <w:rPr>
          <w:sz w:val="22"/>
        </w:rPr>
        <w:t>Province</w:t>
      </w:r>
      <w:r>
        <w:rPr>
          <w:color w:val="FF0000"/>
          <w:sz w:val="22"/>
        </w:rPr>
        <w:t>]</w:t>
      </w:r>
      <w:r>
        <w:rPr>
          <w:sz w:val="22"/>
        </w:rPr>
        <w:t xml:space="preserv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rPr>
            </w:pPr>
            <w:r>
              <w:rPr>
                <w:sz w:val="22"/>
              </w:rPr>
              <w:t>To Enron:</w:t>
            </w:r>
          </w:p>
        </w:tc>
        <w:tc>
          <w:tcPr>
            <w:tcW w:w="4230" w:type="dxa"/>
            <w:tcBorders/>
          </w:tcPr>
          <w:p>
            <w:pPr>
              <w:pStyle w:val="Normal"/>
              <w:keepNext w:val="true"/>
              <w:keepLines/>
              <w:spacing w:lineRule="atLeast" w:line="240"/>
              <w:rPr>
                <w:sz w:val="22"/>
              </w:rPr>
            </w:pPr>
            <w:r>
              <w:rPr>
                <w:sz w:val="22"/>
              </w:rPr>
              <w:t xml:space="preserve">Enron North America Corp. </w:t>
            </w:r>
            <w:r>
              <w:rPr>
                <w:color w:val="FF0000"/>
                <w:sz w:val="22"/>
              </w:rPr>
              <w:t>[</w:t>
            </w:r>
            <w:r>
              <w:rPr>
                <w:sz w:val="22"/>
              </w:rPr>
              <w:t>or other Enron affiliate</w:t>
            </w:r>
            <w:r>
              <w:rPr>
                <w:color w:val="FF0000"/>
                <w:sz w:val="22"/>
              </w:rPr>
              <w:t>]</w:t>
            </w:r>
          </w:p>
        </w:tc>
        <w:tc>
          <w:tcPr>
            <w:tcW w:w="1620" w:type="dxa"/>
            <w:tcBorders/>
          </w:tcPr>
          <w:p>
            <w:pPr>
              <w:pStyle w:val="Normal"/>
              <w:keepNext w:val="true"/>
              <w:keepLines/>
              <w:spacing w:lineRule="atLeast" w:line="240"/>
              <w:rPr>
                <w:sz w:val="22"/>
              </w:rPr>
            </w:pPr>
            <w:r>
              <w:rPr>
                <w:sz w:val="22"/>
              </w:rPr>
              <w:t>To Guarantor:</w:t>
            </w:r>
          </w:p>
        </w:tc>
        <w:tc>
          <w:tcPr>
            <w:tcW w:w="3150" w:type="dxa"/>
            <w:tcBorders/>
          </w:tcPr>
          <w:p>
            <w:pPr>
              <w:pStyle w:val="Normal"/>
              <w:keepNext w:val="true"/>
              <w:keepLines/>
              <w:tabs>
                <w:tab w:val="clear" w:pos="720"/>
                <w:tab w:val="right" w:pos="2988" w:leader="none"/>
              </w:tabs>
              <w:spacing w:lineRule="atLeast" w:line="240"/>
              <w:rPr>
                <w:sz w:val="22"/>
                <w:u w:val="single"/>
              </w:rPr>
            </w:pPr>
            <w:r>
              <w:rPr>
                <w:sz w:val="22"/>
                <w:u w:val="single"/>
              </w:rPr>
              <w:tab/>
            </w:r>
          </w:p>
          <w:p>
            <w:pPr>
              <w:pStyle w:val="Normal"/>
              <w:keepNext w:val="true"/>
              <w:keepLines/>
              <w:tabs>
                <w:tab w:val="clear" w:pos="720"/>
                <w:tab w:val="right" w:pos="2988" w:leader="none"/>
              </w:tabs>
              <w:spacing w:lineRule="atLeast" w:line="240"/>
              <w:rPr>
                <w:sz w:val="22"/>
              </w:rPr>
            </w:pP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1400 Smith Street</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ind w:end="72"/>
              <w:rPr>
                <w:sz w:val="22"/>
              </w:rPr>
            </w:pP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Houston, Texas  77002</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Attn.:  Director, Documentation Department</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Fax No.:  (713) 646-4816</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napToGrid w:val="false"/>
              <w:spacing w:lineRule="atLeast" w:line="240"/>
              <w:rPr>
                <w:sz w:val="22"/>
              </w:rPr>
            </w:pPr>
            <w:r>
              <w:rPr>
                <w:sz w:val="22"/>
              </w:rPr>
            </w:r>
          </w:p>
        </w:tc>
      </w:tr>
    </w:tbl>
    <w:p>
      <w:pPr>
        <w:pStyle w:val="Normal"/>
        <w:tabs>
          <w:tab w:val="clear" w:pos="720"/>
          <w:tab w:val="left" w:pos="6480" w:leader="none"/>
        </w:tabs>
        <w:spacing w:lineRule="atLeast" w:line="240"/>
        <w:jc w:val="both"/>
        <w:rPr>
          <w:sz w:val="22"/>
        </w:rPr>
      </w:pPr>
      <w:r>
        <w:rPr>
          <w:sz w:val="22"/>
        </w:rPr>
      </w:r>
    </w:p>
    <w:p>
      <w:pPr>
        <w:pStyle w:val="Normal"/>
        <w:tabs>
          <w:tab w:val="clear" w:pos="720"/>
          <w:tab w:val="left" w:pos="6480" w:leader="none"/>
        </w:tabs>
        <w:spacing w:lineRule="atLeast" w:line="240"/>
        <w:jc w:val="both"/>
        <w:rPr>
          <w:sz w:val="22"/>
        </w:rPr>
      </w:pPr>
      <w:r>
        <w:rPr>
          <w:sz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xml:space="preserve">.  This Guaranty shall in all respects be governed by, and construed in accordance with, the law of the State of </w:t>
      </w:r>
      <w:r>
        <w:rPr>
          <w:color w:val="FF0000"/>
          <w:sz w:val="22"/>
        </w:rPr>
        <w:t>[</w:t>
      </w:r>
      <w:r>
        <w:rPr>
          <w:sz w:val="22"/>
        </w:rPr>
        <w:t>Texas</w:t>
      </w:r>
      <w:r>
        <w:rPr>
          <w:color w:val="FF0000"/>
          <w:sz w:val="22"/>
        </w:rPr>
        <w:t>][</w:t>
      </w:r>
      <w:r>
        <w:rPr>
          <w:sz w:val="22"/>
        </w:rPr>
        <w:t>New York</w:t>
      </w:r>
      <w:r>
        <w:rPr>
          <w:color w:val="FF0000"/>
          <w:sz w:val="22"/>
        </w:rPr>
        <w:t>][</w:t>
      </w:r>
      <w:r>
        <w:rPr>
          <w:sz w:val="22"/>
        </w:rPr>
        <w:t>Province of ______________</w:t>
      </w:r>
      <w:r>
        <w:rPr>
          <w:color w:val="FF0000"/>
          <w:sz w:val="22"/>
        </w:rPr>
        <w:t>]</w:t>
      </w:r>
      <w:r>
        <w:rPr>
          <w:sz w:val="22"/>
        </w:rPr>
        <w:t>,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r>
      <w:r>
        <w:rPr>
          <w:sz w:val="22"/>
          <w:u w:val="single"/>
        </w:rPr>
        <w:tab/>
        <w:tab/>
      </w:r>
      <w:r>
        <w:rPr>
          <w:sz w:val="22"/>
        </w:rPr>
        <w:t>, 200_, but it is effective as of the date first above written.</w:t>
      </w:r>
    </w:p>
    <w:p>
      <w:pPr>
        <w:pStyle w:val="Normal"/>
        <w:spacing w:lineRule="atLeast" w:line="240"/>
        <w:jc w:val="both"/>
        <w:rPr>
          <w:b/>
          <w:sz w:val="22"/>
        </w:rPr>
      </w:pPr>
      <w:r>
        <w:rPr>
          <w:b/>
          <w:sz w:val="22"/>
        </w:rPr>
      </w:r>
    </w:p>
    <w:p>
      <w:pPr>
        <w:pStyle w:val="Normal"/>
        <w:spacing w:lineRule="exact" w:line="240"/>
        <w:ind w:start="5040" w:end="0"/>
        <w:jc w:val="both"/>
        <w:rPr>
          <w:sz w:val="22"/>
        </w:rPr>
      </w:pPr>
      <w:r>
        <w:rPr>
          <w:b/>
          <w:sz w:val="22"/>
        </w:rPr>
        <w:t>[GUARANTOR]</w:t>
      </w:r>
    </w:p>
    <w:p>
      <w:pPr>
        <w:pStyle w:val="Normal"/>
        <w:spacing w:lineRule="exact" w:line="240"/>
        <w:ind w:start="5040" w:end="0"/>
        <w:jc w:val="both"/>
        <w:rPr>
          <w:sz w:val="22"/>
        </w:rPr>
      </w:pPr>
      <w:r>
        <w:rPr>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r>
    </w:p>
    <w:p>
      <w:pPr>
        <w:pStyle w:val="Normal"/>
        <w:spacing w:lineRule="atLeast" w:line="240"/>
        <w:ind w:start="5040" w:end="0"/>
        <w:jc w:val="both"/>
        <w:rPr>
          <w:sz w:val="22"/>
        </w:rPr>
      </w:pPr>
      <w:r>
        <w:rPr>
          <w:sz w:val="22"/>
        </w:rPr>
        <w:t xml:space="preserve">Name:  </w:t>
      </w:r>
      <w:r>
        <w:rPr>
          <w:sz w:val="22"/>
          <w:u w:val="single"/>
        </w:rPr>
        <w:tab/>
        <w:tab/>
        <w:tab/>
        <w:tab/>
        <w:tab/>
      </w:r>
    </w:p>
    <w:p>
      <w:pPr>
        <w:pStyle w:val="Normal"/>
        <w:spacing w:lineRule="atLeast" w:line="240"/>
        <w:ind w:start="5040" w:end="0"/>
        <w:jc w:val="both"/>
        <w:rPr/>
      </w:pPr>
      <w:r>
        <w:rPr>
          <w:sz w:val="22"/>
        </w:rPr>
        <w:t xml:space="preserve">Title:  </w:t>
      </w:r>
      <w:r>
        <w:rPr>
          <w:sz w:val="22"/>
          <w:u w:val="single"/>
        </w:rPr>
        <w:tab/>
        <w:tab/>
        <w:tab/>
        <w:tab/>
        <w:tab/>
      </w:r>
    </w:p>
    <w:p>
      <w:pPr>
        <w:pStyle w:val="Normal"/>
        <w:rPr>
          <w:sz w:val="22"/>
          <w:u w:val="single"/>
        </w:rPr>
      </w:pPr>
      <w:r>
        <w:rPr>
          <w:sz w:val="22"/>
          <w:u w:val="single"/>
        </w:rPr>
      </w:r>
    </w:p>
    <w:p>
      <w:pPr>
        <w:pStyle w:val="Normal"/>
        <w:rPr>
          <w:sz w:val="22"/>
        </w:rPr>
      </w:pPr>
      <w:r>
        <w:rPr>
          <w:sz w:val="22"/>
        </w:rPr>
      </w:r>
    </w:p>
    <w:sectPr>
      <w:headerReference w:type="default" r:id="rId4"/>
      <w:headerReference w:type="first" r:id="rId5"/>
      <w:footerReference w:type="default" r:id="rId6"/>
      <w:footerReference w:type="first" r:id="rId7"/>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t>Exhibit A</w:t>
    </w:r>
  </w:p>
  <w:p>
    <w:pPr>
      <w:pStyle w:val="Footer"/>
      <w:widowControl/>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_</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Delete for Industrial Master and Annex B</w:t>
      </w:r>
    </w:p>
  </w:footnote>
  <w:footnote w:id="3">
    <w:p>
      <w:pPr>
        <w:pStyle w:val="FootnoteText"/>
        <w:rPr/>
      </w:pPr>
      <w:r>
        <w:rPr>
          <w:rStyle w:val="FootnoteCharacters"/>
        </w:rPr>
        <w:t>1</w:t>
      </w:r>
      <w:r>
        <w:rPr/>
        <w:t xml:space="preserve"> </w:t>
      </w:r>
      <w:r>
        <w:rPr/>
        <w:t>Delete for Industrial Master and Annex B</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2000-06-07T11:34:00Z</dcterms:created>
  <dc:creator>tjones</dc:creator>
  <dc:description/>
  <dc:language>en-CA</dc:language>
  <cp:lastModifiedBy>sbaile2</cp:lastModifiedBy>
  <cp:lastPrinted>1999-08-12T15:59:00Z</cp:lastPrinted>
  <dcterms:modified xsi:type="dcterms:W3CDTF">2000-06-07T11:39:00Z</dcterms:modified>
  <cp:revision>4</cp:revision>
  <dc:subject/>
  <dc:title>EXHIBIT A</dc:title>
</cp:coreProperties>
</file>