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spacing w:lineRule="auto" w:line="480"/>
        <w:rPr/>
      </w:pPr>
      <w:r>
        <w:rPr>
          <w:vertAlign w:val="superscript"/>
        </w:rPr>
        <w:tab/>
      </w:r>
      <w:r>
        <w:rPr>
          <w:b/>
          <w:sz w:val="20"/>
        </w:rPr>
        <w:t>GUARANTEE</w:t>
      </w:r>
    </w:p>
    <w:p>
      <w:pPr>
        <w:pStyle w:val="BodyMain"/>
        <w:spacing w:lineRule="auto" w:line="240"/>
        <w:rPr/>
      </w:pPr>
      <w:r>
        <w:rPr>
          <w:sz w:val="20"/>
        </w:rPr>
        <w:t>FOR VALUE RECEIVED, the undersigned ____________________________________ (“</w:t>
      </w:r>
      <w:r>
        <w:rPr>
          <w:sz w:val="20"/>
          <w:u w:val="single"/>
        </w:rPr>
        <w:t>Guarantor</w:t>
      </w:r>
      <w:r>
        <w:rPr>
          <w:sz w:val="20"/>
        </w:rPr>
        <w:t>”), absolutely and unconditionally guarantees the full and prompt payment and performance by  ____________________________________  (“</w:t>
      </w:r>
      <w:r>
        <w:rPr>
          <w:sz w:val="20"/>
          <w:u w:val="single"/>
        </w:rPr>
        <w:t>Obligor</w:t>
      </w:r>
      <w:r>
        <w:rPr>
          <w:sz w:val="20"/>
        </w:rPr>
        <w:t>”), of any and all Obligations (as defined below), now or hereafter owed by Obligor (the “</w:t>
      </w:r>
      <w:r>
        <w:rPr>
          <w:sz w:val="20"/>
          <w:u w:val="single"/>
        </w:rPr>
        <w:t>Guaranteed Obligations</w:t>
      </w:r>
      <w:r>
        <w:rPr>
          <w:sz w:val="20"/>
        </w:rPr>
        <w:t xml:space="preserve">”) to Bear, Stearns Securities Corp., Bear, Stearns &amp; Co. Inc. and/or each of their direct and indirect subsidiaries, all trusts and other entities owned directly or indirectly by either, and all other affiliates, whether existing as of the date hereof or is hereafter created or acquired (individually, each a “Beneficiary”).  The term “affiliate” when used with respect to a Beneficiary shall mean any entity which is owned directly or indirectly by The Bear Stearns Companies Inc. or which is controlled by or under common control with any entity which is owned directly or indirectly by The Bear Stearns Companies Inc. whether such entity exists as of the date hereof or is hereafter created or acquired.  </w:t>
      </w:r>
      <w:r>
        <w:rPr>
          <w:sz w:val="20"/>
          <w:vertAlign w:val="superscript"/>
        </w:rPr>
        <w:t xml:space="preserve"> </w:t>
      </w:r>
      <w:r>
        <w:rPr>
          <w:sz w:val="20"/>
        </w:rPr>
        <w:t>Guarantor hereby agrees that if Obligor shall fail at any time to make due and punctual payment to a Beneficiary of any Guaranteed Obligation or if Obligor shall fail at any time to perform any other Guaranteed Obligation to a Beneficiary, Guarantor shall forthwith pay such amount and perform such Guaranteed Obligation without demand therefor. Guarantor’s Obligations hereunder shall be paid without set-off or counter-claim against any obligation a Beneficiary may owe to Guarantor.  “</w:t>
      </w:r>
      <w:r>
        <w:rPr>
          <w:sz w:val="20"/>
          <w:u w:val="single"/>
        </w:rPr>
        <w:t>Obligations</w:t>
      </w:r>
      <w:r>
        <w:rPr>
          <w:sz w:val="20"/>
        </w:rPr>
        <w:t>” means each and every obligation or liability Obligor, and Guarantor, as the case may be, owes or may owe to a Beneficiary, including, without limitation, payment and delivery obligations, any “debt” as defined in the United States Bankruptcy Code, any obligation arising under a guarantee, including, without limitation, this Guarantee, of the obligations of a third party, that Obligor, or Guarantor, as the case may be, has provided to a Beneficiary and every obligation or requirement Obligor, or Guarantor, as the case may be, has under any transaction with a Beneficiary to maintain or deliver collateral with respect to such transaction or in connection with a guarantee, or its acceleration, cancellation, termination or liquidation, whether arising hereunder, heretofore, or hereafter.</w:t>
      </w:r>
    </w:p>
    <w:p>
      <w:pPr>
        <w:pStyle w:val="BodyMain"/>
        <w:spacing w:lineRule="auto" w:line="240" w:before="0" w:after="0"/>
        <w:rPr>
          <w:sz w:val="20"/>
        </w:rPr>
      </w:pPr>
      <w:r>
        <w:rPr>
          <w:sz w:val="20"/>
        </w:rPr>
      </w:r>
    </w:p>
    <w:p>
      <w:pPr>
        <w:pStyle w:val="BodyMain"/>
        <w:spacing w:lineRule="auto" w:line="240" w:before="0" w:after="0"/>
        <w:rPr/>
      </w:pPr>
      <w:r>
        <w:rPr>
          <w:sz w:val="20"/>
        </w:rPr>
        <w:t xml:space="preserve">Section 1.  </w:t>
      </w:r>
      <w:r>
        <w:rPr>
          <w:sz w:val="20"/>
          <w:u w:val="single"/>
        </w:rPr>
        <w:t>Consents, Waivers and Renewals</w:t>
      </w:r>
      <w:r>
        <w:rPr>
          <w:i/>
          <w:sz w:val="20"/>
        </w:rPr>
        <w:t xml:space="preserve">.  </w:t>
      </w:r>
      <w:r>
        <w:rPr>
          <w:sz w:val="20"/>
        </w:rPr>
        <w:t>Guarantor hereby agrees that this Guarantee is a continuing guarantee and that its Obligations hereunder shall be absolute and unconditional, irrespective of (a) the validity, regularity or enforceability of the Guaranteed Obligations; (b) the absence of any action to enforce the same; (c) the existence of any collateral or other assets from which the Guaranteed Obligations could be satisfied by a Beneficiary (including, without limitation, any right a Beneficiary may have to set-off or apply any obligation a different Bear Stearns entity may owe to Obligor); (d) any waiver, forbearance, amendment, compromise, release, settlement or consent by a Beneficiary with respect to any of the Guaranteed Obligations; and (e) the dissolution, liquidation, reorganization or other change regarding Obligor, or Obligor being the subject of any case or proceeding under any bankruptcy or other law for the protection of debtors or creditors, or any other action or matter that would release a guarantor.  Guarantor hereby waives diligence; presentment; demand for payment or performance; filing of claims with any court in case of the insolvency, reorganization or bankruptcy of Obligor; protest or notice with respect to the Guaranteed Obligations or the amounts payable by Obligor thereunder; and all demands whatsoever; any fact, event or circumstance that might otherwise constitute a legal or equitable defense to or discharge of Guarantor, including (but without typifying or limiting this waiver), release by a Beneficiary of the Guaranteed Obligations, failure by a Beneficiary to perfect a security interest in any collateral securing performance of any Guaranteed Obligation or to realize the value of any collateral or other assets which may be available to satisfy any Guaranteed Obligation</w:t>
      </w:r>
      <w:r>
        <w:rPr>
          <w:b/>
          <w:sz w:val="20"/>
        </w:rPr>
        <w:t xml:space="preserve"> </w:t>
      </w:r>
      <w:r>
        <w:rPr>
          <w:sz w:val="20"/>
        </w:rPr>
        <w:t>and any delay by a Beneficiary in exercising any of its rights hereunder or against Obligor.  Guarantor covenants that this Guarantee will not be discharged except by full, final and irrevocable payment and performance to each Beneficiary of all Guaranteed Obligations incurred while it is effective, and agrees that this Guarantee, and any security therefor, shall continue to be effective or be reinstated (as the case may be) if at any time all or any part of any payment or interest thereon of a Guaranteed Obligation or other performance by Obligor of a Guaranteed Obligation is avoided or repaid or restored for any reason whatsoever, all as though such payment had not been made.  Guarantor hereby further consents to any renewal or modification of any Guaranteed Obligation or any extension of the time within which such is to be performed and to any other indulgences, whether before or after the date of this Guarantee, and waives notice with respect thereto.  Nothing contained herein shall create an obligation upon a Beneficiary to exercise its rights under this Guarantee or to give Obligor credit with respect to this Guarantee.  To the extent that Guarantor guarantees multiple accounts, a Beneficiary may select the account or accounts (if any) for which the Guarantee will operate.</w:t>
      </w:r>
    </w:p>
    <w:p>
      <w:pPr>
        <w:pStyle w:val="BodyMain"/>
        <w:spacing w:lineRule="auto" w:line="240"/>
        <w:rPr/>
      </w:pPr>
      <w:r>
        <w:rPr>
          <w:sz w:val="20"/>
        </w:rPr>
        <w:t xml:space="preserve">Section 2. </w:t>
      </w:r>
      <w:r>
        <w:rPr>
          <w:sz w:val="20"/>
          <w:u w:val="single"/>
        </w:rPr>
        <w:t>Representations, Warranties and Covenants</w:t>
      </w:r>
      <w:r>
        <w:rPr>
          <w:sz w:val="20"/>
        </w:rPr>
        <w:t>.</w:t>
      </w:r>
      <w:r>
        <w:rPr>
          <w:i/>
          <w:sz w:val="20"/>
        </w:rPr>
        <w:t xml:space="preserve">  </w:t>
      </w:r>
      <w:r>
        <w:rPr>
          <w:sz w:val="20"/>
        </w:rPr>
        <w:t>Guarantor represents, warrants and covenants to each Beneficiary that (a) Guarantor has the full right, power and authority to make, execute, deliver and perform this Guarantee and to pay and perform the Guaranteed Obligations under this Guarantee and has taken all necessary action to authorize the execution, delivery and performance of this Guarantee; (b) Guarantor has obtained all consents, approvals or authorizations required in connection with the execution, delivery, payment or performance of this Guarantee and the payment and performance of the Guaranteed Obligations; (c) Guarantor does not hold Bear Stearns stock that is not freely transferable within the meaning of NYSE Rule 431(f)(4) and is otherwise in compliance with the requirements of NYSE Rule 431(f)(4); (d) this Guarantee constitutes the valid and legally binding obligation of Guarantor, enforceable in accordance with its terms, except (i) as limited by applicable bankruptcy, insolvency, reorganization, moratorium, and other laws of general application affecting enforcement of creditors’ rights generally, in each case, as they relate to a proceeding or relief pertaining to Guarantor and not to Obligor, and (ii) as limited by laws relating to the availability of specific performance or injunctive relief; and (e) Guarantor agrees that it shall provide Bear Stearns at the address for notices set forth in Section 9 below with quarterly financial statements by the 20</w:t>
      </w:r>
      <w:r>
        <w:rPr>
          <w:sz w:val="20"/>
          <w:vertAlign w:val="superscript"/>
        </w:rPr>
        <w:t>th</w:t>
      </w:r>
      <w:r>
        <w:rPr>
          <w:sz w:val="20"/>
        </w:rPr>
        <w:t xml:space="preserve"> day of the month following the end of each quarter.</w:t>
      </w:r>
    </w:p>
    <w:p>
      <w:pPr>
        <w:pStyle w:val="BodyMain"/>
        <w:spacing w:lineRule="auto" w:line="240"/>
        <w:rPr/>
      </w:pPr>
      <w:r>
        <w:rPr>
          <w:sz w:val="20"/>
        </w:rPr>
        <w:t xml:space="preserve">Section 3.  </w:t>
      </w:r>
      <w:r>
        <w:rPr>
          <w:sz w:val="20"/>
          <w:u w:val="single"/>
        </w:rPr>
        <w:t>Security Interest and Lien; Assignment</w:t>
      </w:r>
      <w:r>
        <w:rPr>
          <w:sz w:val="20"/>
        </w:rPr>
        <w:t>.  Guarantor hereby grants to each Beneficiary a valid and first priority, perfected, continuing security interest in and assigns (a) all property now or hereafter held or carried by a Beneficiary in any of Guarantor’s accounts, all property in which Guarantor now has or hereafter acquires an interest which is now or hereafter held by or through a Beneficiary and all property of Guarantor held or otherwise subject to the control of a Beneficiary or agent thereof, including (without limitation) all margin, securities, monies, and investment property (including, without limitation, all financial assets and instruments); (b) all rights Guarantor has in any obligation that a Beneficiary owes to Guarantor; (c) any and all rights, claims or causes of action Guarantor may now or hereafter have against a Beneficiary (including, without limitation, all rights Guarantor has in any repurchase agreement to which a Beneficiary is a party); and (d) all proceeds of or distributions on any of the foregoing (collectively (a) through (d), “</w:t>
      </w:r>
      <w:r>
        <w:rPr>
          <w:sz w:val="20"/>
          <w:u w:val="single"/>
        </w:rPr>
        <w:t>Guarantor Collateral</w:t>
      </w:r>
      <w:r>
        <w:rPr>
          <w:sz w:val="20"/>
        </w:rPr>
        <w:t>”), as security for the payment and performance of any and all of Guarantor’s obligations to a Beneficiary under this Guarantee.  Guarantor agrees that each Beneficiary may proceed at any time, in its sole discretion, and without prior demand or notice, to enforce such security interest by the sale of any and all Guarantor Collateral in any manner and upon such terms as a Beneficiary may determine in its sole discretion.  The assertion or enforcement by a Beneficiary of such security interest or any demand that Guarantor perform its obligations under this Guarantee, or any action or proceedings brought to enforce this Guarantee, shall not release Guarantor as Guarantor or otherwise affect this Guarantee, or the liability of Guarantor for any Guaranteed Obligation and shall not release or otherwise affect the security interest granted by Guarantor to each Beneficiary.</w:t>
      </w:r>
    </w:p>
    <w:p>
      <w:pPr>
        <w:pStyle w:val="BodyMain"/>
        <w:spacing w:lineRule="auto" w:line="240"/>
        <w:rPr/>
      </w:pPr>
      <w:r>
        <w:rPr>
          <w:sz w:val="20"/>
        </w:rPr>
        <w:t xml:space="preserve">Section 4.   </w:t>
      </w:r>
      <w:r>
        <w:rPr>
          <w:sz w:val="20"/>
          <w:u w:val="single"/>
        </w:rPr>
        <w:t>Additional Guarantees</w:t>
      </w:r>
      <w:r>
        <w:rPr>
          <w:sz w:val="20"/>
        </w:rPr>
        <w:t>.  Guarantor understands that, in addition to this Guarantee, other entities may issue similar guarantees to ensure the complete performance of Obligor’s Obligations.  This Guarantee shall not be diminished in any way by the grant of additional guarantees of Obligor’s Obligations to a Beneficiary or by the existence of other guarantors, and this Guarantee may be enforced in full against Guarantor without joining any other guarantor, as the case may be.  Guarantor waives the doctrine of marshalling of assets and any other similar doctrine.</w:t>
      </w:r>
    </w:p>
    <w:p>
      <w:pPr>
        <w:pStyle w:val="BodyMain"/>
        <w:spacing w:lineRule="auto" w:line="240"/>
        <w:rPr>
          <w:sz w:val="20"/>
        </w:rPr>
      </w:pPr>
      <w:r>
        <w:rPr>
          <w:sz w:val="20"/>
        </w:rPr>
        <w:t>For the avoidance of doubt, Guarantor acknowledges and agrees that, (a) the term “Guaranteed Obligations” includes any Obligation arising under a guarantee that Obligor has provided to a Beneficiary in respect of a third party’s obligations; (b) each Beneficiary will consider the Obligations arising from the guaranties of such third parties in determining the amount of collateral Guarantor may be required to maintain or with respect to the release of Guarantor Collateral; and (c) the amount of Guarantor’s equity shown on notices or account statements to Guarantor may not reflect some or all of Guarantor’s actual or contingent liabilities with respect to Guaranteed Obligations.</w:t>
      </w:r>
    </w:p>
    <w:p>
      <w:pPr>
        <w:pStyle w:val="BodyMain"/>
        <w:spacing w:lineRule="auto" w:line="240"/>
        <w:rPr>
          <w:b/>
          <w:sz w:val="20"/>
        </w:rPr>
      </w:pPr>
      <w:r>
        <w:rPr>
          <w:sz w:val="20"/>
        </w:rPr>
        <w:t xml:space="preserve">Section 5.  </w:t>
      </w:r>
      <w:r>
        <w:rPr>
          <w:sz w:val="20"/>
          <w:u w:val="single"/>
        </w:rPr>
        <w:t>Termination</w:t>
      </w:r>
      <w:r>
        <w:rPr>
          <w:sz w:val="20"/>
        </w:rPr>
        <w:t xml:space="preserve">.  This Guarantee shall be and remain effective with respect to all Guaranteed Obligations incurred prior to 5:00 P.M. (New York time) on the fifth Business Day after notice of termination by Guarantor is received by the Bear Stearns Margin Department at the address set forth below (the “Effective Termination Time”); </w:t>
      </w:r>
      <w:r>
        <w:rPr>
          <w:sz w:val="20"/>
          <w:u w:val="single"/>
        </w:rPr>
        <w:t>provided</w:t>
      </w:r>
      <w:r>
        <w:rPr>
          <w:sz w:val="20"/>
        </w:rPr>
        <w:t xml:space="preserve"> </w:t>
      </w:r>
      <w:r>
        <w:rPr>
          <w:sz w:val="20"/>
          <w:u w:val="single"/>
        </w:rPr>
        <w:t>however</w:t>
      </w:r>
      <w:r>
        <w:rPr>
          <w:sz w:val="20"/>
        </w:rPr>
        <w:t xml:space="preserve">, that notwithstanding such notice of termination, this Guarantee (a) shall remain effective with respect to any Guaranteed Obligations incurred prior to the Effective Termination Time; and (b) shall be reinstated as provided above. </w:t>
      </w:r>
    </w:p>
    <w:p>
      <w:pPr>
        <w:pStyle w:val="BodyContd"/>
        <w:spacing w:lineRule="auto" w:line="240"/>
        <w:ind w:firstLine="720" w:end="0"/>
        <w:rPr/>
      </w:pPr>
      <w:r>
        <w:rPr>
          <w:sz w:val="20"/>
        </w:rPr>
        <w:t xml:space="preserve">Section 6.  </w:t>
      </w:r>
      <w:r>
        <w:rPr>
          <w:sz w:val="20"/>
          <w:u w:val="single"/>
        </w:rPr>
        <w:t>Successors; Assigns</w:t>
      </w:r>
      <w:r>
        <w:rPr>
          <w:sz w:val="20"/>
        </w:rPr>
        <w:t>.  Any assignment of this Guarantee without the prior written consent of an authorized representative of each Beneficiary shall be null and void.  This Guarantee shall inure to the benefit of any successor or permitted assignees of each Beneficiary.  If Guarantor is an individual, this Guarantee shall be binding upon the respective estate, heirs, personal representatives, successors and permitted assignees.  The death of Guarantor shall not terminate liability hereunder, including, but not limited to, Guaranteed Obligations incurred after Guarantor’s death, which can be terminated only by notice in accordance with Section 9 below and on the terms set forth herein.</w:t>
      </w:r>
    </w:p>
    <w:p>
      <w:pPr>
        <w:pStyle w:val="BodyContd"/>
        <w:spacing w:lineRule="auto" w:line="240"/>
        <w:ind w:firstLine="720" w:end="0"/>
        <w:rPr/>
      </w:pPr>
      <w:r>
        <w:rPr>
          <w:sz w:val="20"/>
        </w:rPr>
        <w:t xml:space="preserve">Section 7.  </w:t>
      </w:r>
      <w:r>
        <w:rPr>
          <w:sz w:val="20"/>
          <w:u w:val="single"/>
        </w:rPr>
        <w:t>Governing Law</w:t>
      </w:r>
      <w:r>
        <w:rPr>
          <w:sz w:val="20"/>
        </w:rPr>
        <w:t xml:space="preserve">.  This Guarantee shall be governed by, and construed in accordance with, the laws of the State of New York without giving effect to the conflict of law principles thereof.  </w:t>
      </w:r>
    </w:p>
    <w:p>
      <w:pPr>
        <w:pStyle w:val="BodyMain"/>
        <w:spacing w:lineRule="auto" w:line="240"/>
        <w:rPr/>
      </w:pPr>
      <w:r>
        <w:rPr>
          <w:sz w:val="20"/>
        </w:rPr>
        <w:t xml:space="preserve">Section 8.  </w:t>
      </w:r>
      <w:r>
        <w:rPr>
          <w:sz w:val="20"/>
          <w:u w:val="single"/>
        </w:rPr>
        <w:t>Expenses</w:t>
      </w:r>
      <w:r>
        <w:rPr>
          <w:sz w:val="20"/>
        </w:rPr>
        <w:t>.</w:t>
      </w:r>
      <w:r>
        <w:rPr>
          <w:i/>
          <w:sz w:val="20"/>
        </w:rPr>
        <w:t xml:space="preserve">  </w:t>
      </w:r>
      <w:r>
        <w:rPr>
          <w:sz w:val="20"/>
        </w:rPr>
        <w:t xml:space="preserve">Guarantor agrees to pay, on demand, all out-of-pocket expenses (including legal fees and disbursements) incurred by each Beneficiary in connection with the enforcement or protection of its rights hereunder or any litigation, procedures or discovery related to this Guarantee. </w:t>
      </w:r>
    </w:p>
    <w:p>
      <w:pPr>
        <w:pStyle w:val="BodyMain"/>
        <w:spacing w:lineRule="auto" w:line="240"/>
        <w:rPr/>
      </w:pPr>
      <w:r>
        <w:rPr>
          <w:sz w:val="20"/>
        </w:rPr>
        <w:t xml:space="preserve">Section 9.  </w:t>
      </w:r>
      <w:r>
        <w:rPr>
          <w:sz w:val="20"/>
          <w:u w:val="single"/>
        </w:rPr>
        <w:t>Miscellaneous</w:t>
      </w:r>
      <w:r>
        <w:rPr>
          <w:sz w:val="20"/>
        </w:rPr>
        <w:t>.</w:t>
      </w:r>
    </w:p>
    <w:p>
      <w:pPr>
        <w:pStyle w:val="BodyMain"/>
        <w:spacing w:lineRule="auto" w:line="240"/>
        <w:rPr/>
      </w:pPr>
      <w:r>
        <w:rPr>
          <w:i/>
          <w:sz w:val="20"/>
        </w:rPr>
        <w:t xml:space="preserve"> </w:t>
      </w:r>
      <w:r>
        <w:rPr>
          <w:sz w:val="20"/>
        </w:rPr>
        <w:t xml:space="preserve">(a) </w:t>
      </w:r>
      <w:r>
        <w:rPr>
          <w:i/>
          <w:sz w:val="20"/>
        </w:rPr>
        <w:t xml:space="preserve">Notices to Beneficiaries.  </w:t>
      </w:r>
      <w:r>
        <w:rPr>
          <w:sz w:val="20"/>
        </w:rPr>
        <w:t xml:space="preserve">Notices by or on behalf of Guarantor to a Beneficiary shall be written, addressed to Bear Stearns, 245 Park Avenue, New York, New York 10167, Attention: Managing Director, Margin Department or such other address of which a Beneficiary gives Guarantor written notice and shall be effective upon actual receipt by a Beneficiary at such address.  Notwithstanding the foregoing, all notices from Guarantor to Bear Stearns Global Lending Limited shall be addressed to: Bear Stearns Global Lending Limited, c/o Director of Operations, Bear, Stearns International Limited, One Canada Square, London E14 5AD, England. </w:t>
      </w:r>
    </w:p>
    <w:p>
      <w:pPr>
        <w:pStyle w:val="BodyMain"/>
        <w:spacing w:lineRule="auto" w:line="240"/>
        <w:rPr/>
      </w:pPr>
      <w:r>
        <w:rPr>
          <w:sz w:val="20"/>
        </w:rPr>
        <w:t xml:space="preserve">(b) </w:t>
      </w:r>
      <w:r>
        <w:rPr>
          <w:i/>
          <w:sz w:val="20"/>
        </w:rPr>
        <w:t xml:space="preserve">Notices to Guarantors.  </w:t>
      </w:r>
      <w:r>
        <w:rPr>
          <w:sz w:val="20"/>
        </w:rPr>
        <w:t xml:space="preserve">Notices, demands, or other communications to Guarantor under this Guarantee will be delivered, transmitted or mailed to the address, telephone or facsimile number listed below, unless and until three business days after a Beneficiary has received written notice from Guarantor of a different address or telephone or facsimile number.  Notices to Guarantor shall be deemed received when properly addressed (a) 3 days after mailing postage prepaid or (b) the day delivered if personally delivered, including a facsimile transmission, or sent by overnight courier.  Notices given to Guarantor by facsimile transmission shall be deemed received during normal business hours of the recipient when the transmitting facsimile signals the successful transmission of the facsimile during such normal business hours.  Notices given to Guarantor by telephone shall be deemed received when a Beneficiary calls by telephone the person authorized to receive telephone notices listed below, during normal business hours of the recipient at the telephone number listed below.  </w:t>
      </w:r>
    </w:p>
    <w:p>
      <w:pPr>
        <w:pStyle w:val="BodyMain"/>
        <w:spacing w:lineRule="auto" w:line="240"/>
        <w:rPr/>
      </w:pPr>
      <w:r>
        <w:rPr>
          <w:sz w:val="20"/>
        </w:rPr>
        <w:t xml:space="preserve">(c) </w:t>
      </w:r>
      <w:r>
        <w:rPr>
          <w:i/>
          <w:sz w:val="20"/>
        </w:rPr>
        <w:t>Facsimile copies.</w:t>
      </w:r>
      <w:r>
        <w:rPr>
          <w:sz w:val="20"/>
        </w:rPr>
        <w:t xml:space="preserve"> Guarantor hereby authorizes each Beneficiary to accept facsimile copies of this or any other document or instruction as if it were the original and to accept signatures on facsimiles as if they were originals.</w:t>
      </w:r>
    </w:p>
    <w:p>
      <w:pPr>
        <w:pStyle w:val="BodyMain"/>
        <w:spacing w:lineRule="auto" w:line="240" w:before="240" w:after="240"/>
        <w:rPr/>
      </w:pPr>
      <w:r>
        <w:rPr>
          <w:sz w:val="20"/>
        </w:rPr>
        <w:t xml:space="preserve">(d) </w:t>
      </w:r>
      <w:r>
        <w:rPr>
          <w:i/>
          <w:sz w:val="20"/>
        </w:rPr>
        <w:t>Waiver.</w:t>
      </w:r>
      <w:r>
        <w:rPr>
          <w:sz w:val="20"/>
        </w:rPr>
        <w:t xml:space="preserve">  Neither a Beneficiary’s failure to insist at any time upon strict compliance with this Guarantee or with any of the terms hereof nor any continued course of such conduct on its part shall constitute or be considered a waiver by such Beneficiary of any of its rights or privileges hereunder.</w:t>
      </w:r>
    </w:p>
    <w:p>
      <w:pPr>
        <w:pStyle w:val="SigEntity"/>
        <w:spacing w:before="0" w:after="240"/>
        <w:rPr>
          <w:sz w:val="20"/>
        </w:rPr>
      </w:pPr>
      <w:r>
        <w:rPr>
          <w:sz w:val="20"/>
        </w:rPr>
        <w:t>GUARANTOR</w:t>
      </w:r>
    </w:p>
    <w:p>
      <w:pPr>
        <w:pStyle w:val="SigEntity"/>
        <w:spacing w:before="0" w:after="0"/>
        <w:rPr>
          <w:sz w:val="20"/>
        </w:rPr>
      </w:pPr>
      <w:r>
        <w:rPr>
          <w:sz w:val="20"/>
        </w:rPr>
      </w:r>
    </w:p>
    <w:p>
      <w:pPr>
        <w:pStyle w:val="SigEntity"/>
        <w:spacing w:before="0" w:after="0"/>
        <w:rPr>
          <w:sz w:val="20"/>
        </w:rPr>
      </w:pPr>
      <w:r>
        <w:rPr>
          <w:sz w:val="20"/>
        </w:rPr>
        <w:t>By:  _________________________________________</w:t>
      </w:r>
    </w:p>
    <w:p>
      <w:pPr>
        <w:pStyle w:val="SigEntity"/>
        <w:spacing w:before="0" w:after="0"/>
        <w:rPr>
          <w:sz w:val="20"/>
        </w:rPr>
      </w:pPr>
      <w:r>
        <w:rPr>
          <w:sz w:val="20"/>
        </w:rPr>
        <w:tab/>
        <w:t>Name:</w:t>
      </w:r>
    </w:p>
    <w:p>
      <w:pPr>
        <w:pStyle w:val="SigEntity"/>
        <w:spacing w:before="0" w:after="0"/>
        <w:rPr>
          <w:sz w:val="20"/>
        </w:rPr>
      </w:pPr>
      <w:r>
        <w:rPr>
          <w:sz w:val="20"/>
        </w:rPr>
        <w:tab/>
        <w:t>Title:</w:t>
      </w:r>
    </w:p>
    <w:p>
      <w:pPr>
        <w:pStyle w:val="HeadingLeft"/>
        <w:spacing w:before="0" w:after="0"/>
        <w:ind w:start="4680" w:end="0"/>
        <w:rPr>
          <w:sz w:val="20"/>
        </w:rPr>
      </w:pPr>
      <w:r>
        <w:rPr>
          <w:sz w:val="20"/>
        </w:rPr>
      </w:r>
    </w:p>
    <w:p>
      <w:pPr>
        <w:pStyle w:val="Normal"/>
        <w:keepNext w:val="true"/>
        <w:tabs>
          <w:tab w:val="clear" w:pos="720"/>
          <w:tab w:val="left" w:pos="3420" w:leader="none"/>
        </w:tabs>
        <w:rPr>
          <w:sz w:val="20"/>
        </w:rPr>
      </w:pPr>
      <w:r>
        <w:rPr>
          <w:sz w:val="20"/>
        </w:rPr>
        <w:t>Attest:    ________________________________</w:t>
        <w:tab/>
        <w:t xml:space="preserve">          </w:t>
        <w:tab/>
        <w:t xml:space="preserve">      </w:t>
      </w:r>
    </w:p>
    <w:p>
      <w:pPr>
        <w:pStyle w:val="Normal"/>
        <w:keepNext w:val="true"/>
        <w:ind w:firstLine="720" w:end="0"/>
        <w:rPr>
          <w:sz w:val="20"/>
        </w:rPr>
      </w:pPr>
      <w:r>
        <w:rPr>
          <w:sz w:val="20"/>
        </w:rPr>
        <w:t>Name:</w:t>
        <w:tab/>
      </w:r>
    </w:p>
    <w:p>
      <w:pPr>
        <w:pStyle w:val="Normal"/>
        <w:keepNext w:val="true"/>
        <w:rPr>
          <w:sz w:val="20"/>
        </w:rPr>
      </w:pPr>
      <w:r>
        <w:rPr>
          <w:sz w:val="20"/>
        </w:rPr>
        <w:tab/>
        <w:t>Title:</w:t>
        <w:tab/>
        <w:tab/>
        <w:tab/>
        <w:tab/>
        <w:tab/>
        <w:t xml:space="preserve">      </w:t>
      </w:r>
    </w:p>
    <w:p>
      <w:pPr>
        <w:pStyle w:val="HeadingLeft"/>
        <w:spacing w:before="0" w:after="0"/>
        <w:ind w:hanging="360" w:start="5040" w:end="0"/>
        <w:rPr>
          <w:sz w:val="20"/>
        </w:rPr>
      </w:pPr>
      <w:r>
        <w:rPr>
          <w:sz w:val="20"/>
        </w:rPr>
        <w:t>Address for Notice to Guarantor</w:t>
      </w:r>
    </w:p>
    <w:p>
      <w:pPr>
        <w:pStyle w:val="HeadingLeft"/>
        <w:ind w:hanging="4680" w:start="4680" w:end="0"/>
        <w:rPr>
          <w:sz w:val="20"/>
        </w:rPr>
      </w:pPr>
      <w:r>
        <w:rPr>
          <w:sz w:val="20"/>
        </w:rPr>
        <w:t>Dated:  _______________, 20___</w:t>
        <w:tab/>
        <w:t>______________________________________</w:t>
      </w:r>
    </w:p>
    <w:p>
      <w:pPr>
        <w:pStyle w:val="HeadingLeft"/>
        <w:spacing w:before="0" w:after="0"/>
        <w:ind w:start="4680" w:end="0"/>
        <w:rPr>
          <w:sz w:val="20"/>
        </w:rPr>
      </w:pPr>
      <w:r>
        <w:rPr>
          <w:sz w:val="20"/>
        </w:rPr>
        <w:t>______________________________________</w:t>
      </w:r>
    </w:p>
    <w:p>
      <w:pPr>
        <w:pStyle w:val="HeadingLeft"/>
        <w:spacing w:before="0" w:after="0"/>
        <w:ind w:hanging="4680" w:start="4680" w:end="0"/>
        <w:rPr>
          <w:sz w:val="20"/>
        </w:rPr>
      </w:pPr>
      <w:r>
        <w:rPr>
          <w:sz w:val="20"/>
        </w:rPr>
        <w:t>(corporate seal or notary seal)</w:t>
        <w:tab/>
        <w:t>______________________________________</w:t>
      </w:r>
    </w:p>
    <w:p>
      <w:pPr>
        <w:pStyle w:val="HeadingLeft"/>
        <w:spacing w:before="0" w:after="0"/>
        <w:ind w:start="4680" w:end="0"/>
        <w:rPr>
          <w:sz w:val="20"/>
        </w:rPr>
      </w:pPr>
      <w:r>
        <w:rPr>
          <w:sz w:val="20"/>
        </w:rPr>
        <w:t xml:space="preserve">Telephone Number: _____________________ </w:t>
      </w:r>
    </w:p>
    <w:p>
      <w:pPr>
        <w:pStyle w:val="HeadingLeft"/>
        <w:spacing w:before="0" w:after="0"/>
        <w:ind w:start="4680" w:end="0"/>
        <w:rPr>
          <w:sz w:val="20"/>
        </w:rPr>
      </w:pPr>
      <w:r>
        <w:rPr>
          <w:sz w:val="20"/>
        </w:rPr>
        <w:t>Facsimile Number:  _____________________</w:t>
      </w:r>
    </w:p>
    <w:p>
      <w:pPr>
        <w:pStyle w:val="HeadingLeft"/>
        <w:spacing w:before="0" w:after="0"/>
        <w:ind w:start="4680" w:end="0"/>
        <w:rPr>
          <w:sz w:val="20"/>
        </w:rPr>
      </w:pPr>
      <w:r>
        <w:rPr>
          <w:sz w:val="20"/>
        </w:rPr>
      </w:r>
    </w:p>
    <w:p>
      <w:pPr>
        <w:pStyle w:val="HeadingLeft"/>
        <w:spacing w:before="0" w:after="0"/>
        <w:jc w:val="both"/>
        <w:rPr>
          <w:sz w:val="16"/>
        </w:rPr>
      </w:pPr>
      <w:r>
        <w:rPr>
          <w:sz w:val="16"/>
        </w:rPr>
      </w:r>
    </w:p>
    <w:p>
      <w:pPr>
        <w:pStyle w:val="HeadingLeft"/>
        <w:spacing w:before="0" w:after="0"/>
        <w:jc w:val="both"/>
        <w:rPr>
          <w:sz w:val="16"/>
        </w:rPr>
      </w:pPr>
      <w:r>
        <w:rPr>
          <w:sz w:val="16"/>
        </w:rPr>
      </w:r>
    </w:p>
    <w:p>
      <w:pPr>
        <w:pStyle w:val="HeadingLeft"/>
        <w:spacing w:before="0" w:after="0"/>
        <w:jc w:val="both"/>
        <w:rPr>
          <w:sz w:val="16"/>
        </w:rPr>
      </w:pPr>
      <w:r>
        <w:rPr>
          <w:sz w:val="16"/>
        </w:rPr>
        <w:t>I\LF\Guar\Form.doc</w:t>
      </w:r>
    </w:p>
    <w:p>
      <w:pPr>
        <w:pStyle w:val="HeadingLeft"/>
        <w:spacing w:before="0" w:after="0"/>
        <w:jc w:val="both"/>
        <w:rPr>
          <w:sz w:val="16"/>
        </w:rPr>
      </w:pPr>
      <w:r>
        <w:rPr>
          <w:sz w:val="16"/>
        </w:rPr>
        <w:t>1/08/01</w:t>
      </w:r>
    </w:p>
    <w:p>
      <w:pPr>
        <w:pStyle w:val="HeadingLeft"/>
        <w:spacing w:lineRule="auto" w:line="480" w:before="0" w:after="0"/>
        <w:ind w:start="4680" w:end="0"/>
        <w:rPr>
          <w:sz w:val="20"/>
        </w:rPr>
      </w:pPr>
      <w:r>
        <w:rPr>
          <w:sz w:val="20"/>
        </w:rPr>
      </w:r>
    </w:p>
    <w:p>
      <w:pPr>
        <w:pStyle w:val="HeadingLeft"/>
        <w:spacing w:before="0" w:after="0"/>
        <w:ind w:start="4680" w:end="0"/>
        <w:rPr>
          <w:sz w:val="20"/>
        </w:rPr>
      </w:pPr>
      <w:r>
        <w:rPr>
          <w:sz w:val="20"/>
        </w:rPr>
      </w:r>
    </w:p>
    <w:p>
      <w:pPr>
        <w:pStyle w:val="HeadingLeft"/>
        <w:spacing w:before="0" w:after="0"/>
        <w:ind w:start="4680" w:end="0"/>
        <w:rPr>
          <w:sz w:val="20"/>
        </w:rPr>
      </w:pPr>
      <w:r>
        <w:rPr>
          <w:sz w:val="20"/>
        </w:rPr>
      </w:r>
    </w:p>
    <w:p>
      <w:pPr>
        <w:pStyle w:val="Normal"/>
        <w:rPr>
          <w:sz w:val="20"/>
        </w:rPr>
      </w:pPr>
      <w:r>
        <w:rPr>
          <w:sz w:val="20"/>
        </w:rPr>
      </w:r>
    </w:p>
    <w:sectPr>
      <w:headerReference w:type="default" r:id="rId2"/>
      <w:headerReference w:type="first" r:id="rId3"/>
      <w:footerReference w:type="default" r:id="rId4"/>
      <w:footerReference w:type="first" r:id="rId5"/>
      <w:type w:val="nextPage"/>
      <w:pgSz w:w="12240" w:h="15840"/>
      <w:pgMar w:left="1440" w:right="1440" w:gutter="0" w:header="720" w:top="810" w:footer="720" w:bottom="99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18"/>
      </w:rPr>
    </w:pPr>
    <w:r>
      <w:rPr>
        <w:b/>
        <w:sz w:val="18"/>
      </w:rPr>
    </w:r>
  </w:p>
  <w:p>
    <w:pPr>
      <w:pStyle w:val="Header"/>
      <w:jc w:val="end"/>
      <w:rPr>
        <w:b/>
        <w:sz w:val="18"/>
      </w:rPr>
    </w:pPr>
    <w:r>
      <w:rPr>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numPr>
        <w:ilvl w:val="0"/>
        <w:numId w:val="1"/>
      </w:numPr>
      <w:spacing w:before="240" w:after="0"/>
      <w:jc w:val="both"/>
      <w:outlineLvl w:val="0"/>
    </w:pPr>
    <w:rPr/>
  </w:style>
  <w:style w:type="paragraph" w:styleId="Heading2">
    <w:name w:val="heading 2"/>
    <w:basedOn w:val="Normal"/>
    <w:next w:val="BodyText"/>
    <w:qFormat/>
    <w:pPr>
      <w:numPr>
        <w:ilvl w:val="1"/>
        <w:numId w:val="1"/>
      </w:numPr>
      <w:spacing w:before="240" w:after="0"/>
      <w:jc w:val="both"/>
      <w:outlineLvl w:val="1"/>
    </w:pPr>
    <w:rPr/>
  </w:style>
  <w:style w:type="paragraph" w:styleId="Heading3">
    <w:name w:val="heading 3"/>
    <w:basedOn w:val="Normal"/>
    <w:next w:val="BodyText"/>
    <w:qFormat/>
    <w:pPr>
      <w:numPr>
        <w:ilvl w:val="2"/>
        <w:numId w:val="1"/>
      </w:numPr>
      <w:spacing w:before="240" w:after="0"/>
      <w:jc w:val="both"/>
      <w:outlineLvl w:val="2"/>
    </w:pPr>
    <w:rPr/>
  </w:style>
  <w:style w:type="paragraph" w:styleId="Heading4">
    <w:name w:val="heading 4"/>
    <w:basedOn w:val="Normal"/>
    <w:next w:val="BodyText"/>
    <w:qFormat/>
    <w:pPr>
      <w:numPr>
        <w:ilvl w:val="3"/>
        <w:numId w:val="1"/>
      </w:numPr>
      <w:spacing w:before="240" w:after="0"/>
      <w:jc w:val="both"/>
      <w:outlineLvl w:val="3"/>
    </w:pPr>
    <w:rPr/>
  </w:style>
  <w:style w:type="paragraph" w:styleId="Heading5">
    <w:name w:val="heading 5"/>
    <w:basedOn w:val="Normal"/>
    <w:next w:val="BodyText"/>
    <w:qFormat/>
    <w:pPr>
      <w:numPr>
        <w:ilvl w:val="4"/>
        <w:numId w:val="1"/>
      </w:numPr>
      <w:spacing w:before="240" w:after="0"/>
      <w:jc w:val="both"/>
      <w:outlineLvl w:val="4"/>
    </w:pPr>
    <w:rPr/>
  </w:style>
  <w:style w:type="paragraph" w:styleId="Heading6">
    <w:name w:val="heading 6"/>
    <w:basedOn w:val="Normal"/>
    <w:next w:val="BodyText"/>
    <w:qFormat/>
    <w:pPr>
      <w:numPr>
        <w:ilvl w:val="5"/>
        <w:numId w:val="1"/>
      </w:numPr>
      <w:spacing w:before="240" w:after="0"/>
      <w:jc w:val="both"/>
      <w:outlineLvl w:val="5"/>
    </w:pPr>
    <w:rPr/>
  </w:style>
  <w:style w:type="paragraph" w:styleId="Heading7">
    <w:name w:val="heading 7"/>
    <w:basedOn w:val="Normal"/>
    <w:next w:val="BodyText"/>
    <w:qFormat/>
    <w:pPr>
      <w:numPr>
        <w:ilvl w:val="6"/>
        <w:numId w:val="1"/>
      </w:numPr>
      <w:spacing w:before="240" w:after="0"/>
      <w:jc w:val="both"/>
      <w:outlineLvl w:val="6"/>
    </w:pPr>
    <w:rPr/>
  </w:style>
  <w:style w:type="paragraph" w:styleId="Heading8">
    <w:name w:val="heading 8"/>
    <w:basedOn w:val="Normal"/>
    <w:next w:val="BodyText"/>
    <w:qFormat/>
    <w:pPr>
      <w:numPr>
        <w:ilvl w:val="7"/>
        <w:numId w:val="1"/>
      </w:numPr>
      <w:spacing w:before="240" w:after="0"/>
      <w:jc w:val="both"/>
      <w:outlineLvl w:val="7"/>
    </w:pPr>
    <w:rPr/>
  </w:style>
  <w:style w:type="paragraph" w:styleId="Heading9">
    <w:name w:val="heading 9"/>
    <w:basedOn w:val="Normal"/>
    <w:next w:val="BodyText"/>
    <w:qFormat/>
    <w:pPr>
      <w:numPr>
        <w:ilvl w:val="8"/>
        <w:numId w:val="1"/>
      </w:numPr>
      <w:spacing w:before="240" w:after="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1">
    <w:name w:val="WW8Num13z1"/>
    <w:qFormat/>
    <w:rPr>
      <w:b/>
      <w:i w:val="false"/>
      <w:u w:val="none"/>
    </w:rPr>
  </w:style>
  <w:style w:type="character" w:styleId="WW8Num14z0">
    <w:name w:val="WW8Num14z0"/>
    <w:qFormat/>
    <w:rPr>
      <w:rFonts w:ascii="Times New Roman" w:hAnsi="Times New Roman" w:cs="Times New Roman"/>
      <w:b w:val="false"/>
      <w:i w:val="false"/>
      <w:sz w:val="24"/>
    </w:rPr>
  </w:style>
  <w:style w:type="character" w:styleId="WW8Num14z1">
    <w:name w:val="WW8Num14z1"/>
    <w:qFormat/>
    <w:rPr>
      <w:rFonts w:ascii="Times New Roman" w:hAnsi="Times New Roman" w:cs="Times New Roman"/>
      <w:b w:val="false"/>
      <w:i w:val="false"/>
      <w:sz w:val="24"/>
      <w:u w:val="none"/>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lineRule="auto" w:line="480"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SigIndividL">
    <w:name w:val="Sig Individ L"/>
    <w:basedOn w:val="Normal"/>
    <w:qFormat/>
    <w:pPr>
      <w:keepLines/>
      <w:tabs>
        <w:tab w:val="clear" w:pos="720"/>
        <w:tab w:val="left" w:pos="4680" w:leader="underscore"/>
      </w:tabs>
      <w:spacing w:before="720" w:after="0"/>
      <w:ind w:hanging="0" w:start="0" w:end="4680"/>
      <w:jc w:val="center"/>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360" w:leader="none"/>
      </w:tabs>
      <w:spacing w:before="120" w:after="0"/>
      <w:jc w:val="both"/>
    </w:pPr>
    <w:rPr>
      <w:sz w:val="22"/>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BodyContd">
    <w:name w:val="Body Cont'd"/>
    <w:basedOn w:val="BodyMain"/>
    <w:next w:val="BodyMain"/>
    <w:qFormat/>
    <w:pPr>
      <w:ind w:hanging="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2001-01-09T11:47:00Z</dcterms:created>
  <dc:creator>MIS Department</dc:creator>
  <dc:description/>
  <dc:language>en-CA</dc:language>
  <cp:lastModifiedBy>SC5515</cp:lastModifiedBy>
  <cp:lastPrinted>2001-01-05T09:04:00Z</cp:lastPrinted>
  <dcterms:modified xsi:type="dcterms:W3CDTF">2001-01-09T11:48:00Z</dcterms:modified>
  <cp:revision>3</cp:revision>
  <dc:subject/>
  <dc:title>__________________, 19__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CWT\NYLIB1\490879.2</vt:lpwstr>
  </property>
  <property fmtid="{D5CDD505-2E9C-101B-9397-08002B2CF9AE}" pid="4" name="PCDOCS ID Short">
    <vt:lpwstr>490879.2</vt:lpwstr>
  </property>
  <property fmtid="{D5CDD505-2E9C-101B-9397-08002B2CF9AE}" pid="5" name="VersionDate">
    <vt:filetime>1999-04-09T01:30:00Z</vt:filetime>
  </property>
</Properties>
</file>