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pPr>
      <w:r>
        <w:rPr>
          <w:lang w:val="en-CA"/>
        </w:rPr>
        <w:tab/>
      </w:r>
      <w:r>
        <w:rPr>
          <w:b/>
          <w:u w:val="single"/>
          <w:lang w:val="en-CA"/>
        </w:rPr>
        <w:t>GUARANT</w:t>
      </w:r>
      <w:bookmarkStart w:id="0" w:name="QuickMark"/>
      <w:bookmarkEnd w:id="0"/>
      <w:r>
        <w:rPr>
          <w:b/>
          <w:u w:val="single"/>
          <w:lang w:val="en-CA"/>
        </w:rPr>
        <w:t>EE IN FAVOUR OF NATIONAL BANK OF CANADA</w:t>
      </w:r>
    </w:p>
    <w:p>
      <w:pPr>
        <w:pStyle w:val="Normal"/>
        <w:jc w:val="both"/>
        <w:rPr>
          <w:b/>
          <w:u w:val="single"/>
          <w:lang w:val="en-CA"/>
        </w:rPr>
      </w:pPr>
      <w:r>
        <w:rPr>
          <w:b/>
          <w:u w:val="single"/>
          <w:lang w:val="en-CA"/>
        </w:rPr>
      </w:r>
    </w:p>
    <w:p>
      <w:pPr>
        <w:pStyle w:val="Normal"/>
        <w:jc w:val="both"/>
        <w:rPr>
          <w:lang w:val="en-CA"/>
        </w:rPr>
      </w:pPr>
      <w:r>
        <w:rPr>
          <w:lang w:val="en-CA"/>
        </w:rPr>
        <w:t>Guarantee, dated as of -----------, 2000 by ------------, a corporation organised pursuant to the laws of -------- (the "Guarantor"), in favour of National Bank of Canada (the "Counterparty").</w:t>
      </w:r>
    </w:p>
    <w:p>
      <w:pPr>
        <w:pStyle w:val="Normal"/>
        <w:jc w:val="both"/>
        <w:rPr>
          <w:lang w:val="en-CA"/>
        </w:rPr>
      </w:pPr>
      <w:r>
        <w:rPr>
          <w:lang w:val="en-CA"/>
        </w:rPr>
      </w:r>
    </w:p>
    <w:p>
      <w:pPr>
        <w:pStyle w:val="Normal"/>
        <w:jc w:val="both"/>
        <w:rPr/>
      </w:pPr>
      <w:r>
        <w:rPr>
          <w:b/>
          <w:lang w:val="en-CA"/>
        </w:rPr>
        <w:t xml:space="preserve">1. </w:t>
        <w:tab/>
      </w:r>
      <w:r>
        <w:rPr>
          <w:b/>
          <w:u w:val="single"/>
          <w:lang w:val="en-CA"/>
        </w:rPr>
        <w:t>Guarantee</w:t>
      </w:r>
      <w:r>
        <w:rPr>
          <w:lang w:val="en-CA"/>
        </w:rPr>
        <w:t>.</w:t>
        <w:tab/>
        <w:t>To induce Counterparty to enter into an International Swap Dealers Association Inc. Master Agreement dated the date hereof (the "ISDA Agreement") with the Company, the Guarantor unconditionally guarantees to Counterparty, its successors, endorsees and assigns, the prompt payment when due, subject to any applicable grace period, of all present and future obligations and liabilities of all kinds of Company to Counterparty arising out of individual transactions (the "Transactions"), made under the ISDA Agreement  or arising out of any liabilities suffered by Counterparty following direct or indirect environmental recourse by any person, agency or government against the Counterparty or its affiliates (the "Obligations").</w:t>
      </w:r>
    </w:p>
    <w:p>
      <w:pPr>
        <w:pStyle w:val="Normal"/>
        <w:jc w:val="both"/>
        <w:rPr>
          <w:lang w:val="en-CA"/>
        </w:rPr>
      </w:pPr>
      <w:r>
        <w:rPr>
          <w:lang w:val="en-CA"/>
        </w:rPr>
      </w:r>
    </w:p>
    <w:p>
      <w:pPr>
        <w:pStyle w:val="Normal"/>
        <w:jc w:val="both"/>
        <w:rPr/>
      </w:pPr>
      <w:r>
        <w:rPr>
          <w:b/>
          <w:lang w:val="en-CA"/>
        </w:rPr>
        <w:t>2.</w:t>
        <w:tab/>
      </w:r>
      <w:r>
        <w:rPr>
          <w:b/>
          <w:u w:val="single"/>
          <w:lang w:val="en-CA"/>
        </w:rPr>
        <w:t>Absolute Guarantee</w:t>
      </w:r>
      <w:r>
        <w:rPr>
          <w:lang w:val="en-CA"/>
        </w:rPr>
        <w:t>. The Guarantor's obligations hereunder shall not be affected by the genuineness, validity, regularity or enforceability of the Obligations or any instrument evidencing any Obligations, or by the existence, validity, enforceability, perfection or extent of any collateral therefore Counterparty makes no representation or warranty to the Guarantor regarding such matters, and has no duty or responsibility to disclose to the Guarantor any circumstances that may now or hereafter affect such matters.  Counterparty shall not be obligated to file any claim relating to the Obligations if the Company becomes subject to a bankruptcy, administration, winding-up, dissolution, reorganization or similar proceeding, and the failure of Counterparty to so file shall not affect the Guarantor's obligations hereunder.  If any payment of the Company on account of any Obligation is rescinded or must otherwise be returned for any reason whatsoever, the Guarantor shall remain liable hereunder for such Obligation as if such payment had not been made.  This Guarantee is a guarantee of payment and not of collection.</w:t>
      </w:r>
    </w:p>
    <w:p>
      <w:pPr>
        <w:pStyle w:val="Normal"/>
        <w:jc w:val="both"/>
        <w:rPr>
          <w:lang w:val="en-CA"/>
        </w:rPr>
      </w:pPr>
      <w:r>
        <w:rPr>
          <w:lang w:val="en-CA"/>
        </w:rPr>
      </w:r>
    </w:p>
    <w:p>
      <w:pPr>
        <w:pStyle w:val="Normal"/>
        <w:jc w:val="both"/>
        <w:rPr/>
      </w:pPr>
      <w:r>
        <w:rPr>
          <w:b/>
          <w:lang w:val="en-CA"/>
        </w:rPr>
        <w:t>3.</w:t>
        <w:tab/>
      </w:r>
      <w:r>
        <w:rPr>
          <w:b/>
          <w:u w:val="single"/>
          <w:lang w:val="en-CA"/>
        </w:rPr>
        <w:t>Payment</w:t>
      </w:r>
      <w:r>
        <w:rPr>
          <w:lang w:val="en-CA"/>
        </w:rPr>
        <w:t>.   Payment to Counterparty shall be made in the currency in which such amounts are payable by the Company under or pursuant to the ISDA Agreement and in immediately available, freely transferable, cleared funds to such account with such bank as Counterparty may specify.</w:t>
      </w:r>
    </w:p>
    <w:p>
      <w:pPr>
        <w:pStyle w:val="Normal"/>
        <w:jc w:val="both"/>
        <w:rPr>
          <w:lang w:val="en-CA"/>
        </w:rPr>
      </w:pPr>
      <w:r>
        <w:rPr>
          <w:lang w:val="en-CA"/>
        </w:rPr>
      </w:r>
    </w:p>
    <w:p>
      <w:pPr>
        <w:pStyle w:val="Normal"/>
        <w:jc w:val="both"/>
        <w:rPr/>
      </w:pPr>
      <w:r>
        <w:rPr>
          <w:b/>
          <w:lang w:val="en-CA"/>
        </w:rPr>
        <w:t>4.</w:t>
        <w:tab/>
      </w:r>
      <w:r>
        <w:rPr>
          <w:b/>
          <w:u w:val="single"/>
          <w:lang w:val="en-CA"/>
        </w:rPr>
        <w:t>Currency Conversion</w:t>
      </w:r>
      <w:r>
        <w:rPr>
          <w:lang w:val="en-CA"/>
        </w:rPr>
        <w:t>.   All monies received or held by the Counterparty under this Guarantee may from time to time after demand has been made be converted into such other currency as the Counterparty considers necessary or desirable to cover the obligations and liabilities, actual or contingent, of the Guarantor in that currency at the then prevailing spot rate of exchange of the Counterparty (as conclusively determined by the Counterparty) for purchasing that other currency with the existing currency. To the extent that the amount received upon such conversion into the currency in which such obligation is payable falls short of the amount of such obligation expressed in the currency in which such obligation is payable, Counterparty shall have a further and separate cause of action against Guarantor for the recovery of such sum as shall, after conversion into the currency in which such obligation is payable, be equal to the amount of such shortfall.</w:t>
      </w:r>
    </w:p>
    <w:p>
      <w:pPr>
        <w:pStyle w:val="Normal"/>
        <w:jc w:val="both"/>
        <w:rPr>
          <w:lang w:val="en-CA"/>
        </w:rPr>
      </w:pPr>
      <w:r>
        <w:rPr>
          <w:lang w:val="en-CA"/>
        </w:rPr>
      </w:r>
    </w:p>
    <w:p>
      <w:pPr>
        <w:pStyle w:val="Normal"/>
        <w:jc w:val="both"/>
        <w:rPr/>
      </w:pPr>
      <w:r>
        <w:rPr>
          <w:b/>
          <w:lang w:val="en-CA"/>
        </w:rPr>
        <w:t>5.</w:t>
        <w:tab/>
      </w:r>
      <w:r>
        <w:rPr>
          <w:b/>
          <w:u w:val="single"/>
          <w:lang w:val="en-CA"/>
        </w:rPr>
        <w:t>Consents, Waivers and Renewals</w:t>
      </w:r>
      <w:r>
        <w:rPr>
          <w:lang w:val="en-CA"/>
        </w:rPr>
        <w:t>.   The Guarantor agrees that Counterparty may at any  time and from time to time, either before or after maturity thereof, without notice to or further consent of the Guarantor, extend the time of payment of, exchange or surrender any collateral for, or renew any of the Obligations, and may also make any agreement with the Company or with any other party to or person liable on any of the Obligations, or interested therein, for the extension, renewal, payment, compromise, discharge or release thereof, in whole or in part, or for any modification of the terms thereof or of any agreement between Counterparty and the Company or any such other party or person, without  impairing or affecting this Guarantee.  The Guarantor agrees that Counterparty may seek payment of any of the Obligations from the Guarantor, whether or not Counterparty shall have realized the value of any collateral security, or shall have proceeded against any other obligor principally or secondarily obligated for any of the Obligations.</w:t>
      </w:r>
    </w:p>
    <w:p>
      <w:pPr>
        <w:pStyle w:val="Normal"/>
        <w:jc w:val="both"/>
        <w:rPr>
          <w:lang w:val="en-CA"/>
        </w:rPr>
      </w:pPr>
      <w:r>
        <w:rPr>
          <w:lang w:val="en-CA"/>
        </w:rPr>
      </w:r>
    </w:p>
    <w:p>
      <w:pPr>
        <w:pStyle w:val="Normal"/>
        <w:jc w:val="both"/>
        <w:rPr/>
      </w:pPr>
      <w:r>
        <w:rPr>
          <w:b/>
          <w:lang w:val="en-CA"/>
        </w:rPr>
        <w:t>6.</w:t>
        <w:tab/>
      </w:r>
      <w:r>
        <w:rPr>
          <w:b/>
          <w:u w:val="single"/>
          <w:lang w:val="en-CA"/>
        </w:rPr>
        <w:t>Expenses</w:t>
      </w:r>
      <w:r>
        <w:rPr>
          <w:lang w:val="en-CA"/>
        </w:rPr>
        <w:t>.   The Guarantor agrees to pay on demand all out-of-pocket expenses (including the reasonable fees and expenses of Counterparty's counsel) incurred in the enforcement or protection of the rights of Counterparty hereunder, provided, that the Guarantor shall not be liable for any expenses of Counterparty if no payment under this Guarantee is due.</w:t>
      </w:r>
    </w:p>
    <w:p>
      <w:pPr>
        <w:pStyle w:val="Normal"/>
        <w:jc w:val="both"/>
        <w:rPr>
          <w:lang w:val="en-CA"/>
        </w:rPr>
      </w:pPr>
      <w:r>
        <w:rPr>
          <w:lang w:val="en-CA"/>
        </w:rPr>
      </w:r>
    </w:p>
    <w:p>
      <w:pPr>
        <w:pStyle w:val="Normal"/>
        <w:jc w:val="both"/>
        <w:rPr/>
      </w:pPr>
      <w:r>
        <w:rPr>
          <w:b/>
          <w:lang w:val="en-CA"/>
        </w:rPr>
        <w:t>7.</w:t>
        <w:tab/>
      </w:r>
      <w:r>
        <w:rPr>
          <w:b/>
          <w:u w:val="single"/>
          <w:lang w:val="en-CA"/>
        </w:rPr>
        <w:t>Subrogation</w:t>
      </w:r>
      <w:r>
        <w:rPr>
          <w:lang w:val="en-CA"/>
        </w:rPr>
        <w:t>.   The Guarantor will not exercise any rights it may acquire by subrogation until all the Obligations to Counterparty have been paid in full.  If any amount is paid to the Guarantor in violation of the preceding sentence, such amount shall be held in trust for the benefit of Counterparty and shall be paid forthwith to Counterparty to be credited and applied to the Obligations, whether matured or not.  Subject to the foregoing, upon payment of all the Obligations, the Guarantor shall be subrogated to the rights of Counterparty against the Company, and Counterparty agrees to take at the Guarantor's expense such steps as the Guarantor may reasonably request to implement such subrogation.</w:t>
      </w:r>
    </w:p>
    <w:p>
      <w:pPr>
        <w:pStyle w:val="Normal"/>
        <w:jc w:val="both"/>
        <w:rPr>
          <w:lang w:val="en-CA"/>
        </w:rPr>
      </w:pPr>
      <w:r>
        <w:rPr>
          <w:lang w:val="en-CA"/>
        </w:rPr>
      </w:r>
    </w:p>
    <w:p>
      <w:pPr>
        <w:pStyle w:val="Normal"/>
        <w:jc w:val="both"/>
        <w:rPr/>
      </w:pPr>
      <w:r>
        <w:rPr>
          <w:b/>
          <w:lang w:val="en-CA"/>
        </w:rPr>
        <w:t>8.</w:t>
        <w:tab/>
      </w:r>
      <w:r>
        <w:rPr>
          <w:b/>
          <w:u w:val="single"/>
          <w:lang w:val="en-CA"/>
        </w:rPr>
        <w:t>Continuing Guarantee</w:t>
      </w:r>
      <w:r>
        <w:rPr>
          <w:lang w:val="en-CA"/>
        </w:rPr>
        <w:t>.   This Guarantee is absolute, unconditional and irrevocable and shall remain in full force and effect and be binding upon the Guarantor, its successors and permitted assigns until all of the Obligations have been satisfied in full.  If any present or future Obligations are guaranteed by persons, partnerships, or corporations in addition to the Guarantor, the death, release, discharge in whole or in part, or the bankruptcy, liquidation or dissolution of one or more of them shall not discharge or affect the liabilities of the Guarantor under this Guarantee.  Notwithstanding any other terms hereof, the Guarantor may give notice to the Counterparty pursuant to Section 14 hereof that this Guarantee shall not apply to any future Transactions entered into between the Company and the Counterparty, and such notice shall be effective for all Transactions entered into on or after the seventh day after such notice is given, but such notice shall in no way affect any present or future liabilities of the Guarantor with respect to Obligations for Transactions entered into prior to such seventh day.</w:t>
      </w:r>
    </w:p>
    <w:p>
      <w:pPr>
        <w:pStyle w:val="Normal"/>
        <w:jc w:val="both"/>
        <w:rPr>
          <w:lang w:val="en-CA"/>
        </w:rPr>
      </w:pPr>
      <w:r>
        <w:rPr>
          <w:lang w:val="en-CA"/>
        </w:rPr>
      </w:r>
    </w:p>
    <w:p>
      <w:pPr>
        <w:pStyle w:val="Normal"/>
        <w:jc w:val="both"/>
        <w:rPr/>
      </w:pPr>
      <w:r>
        <w:rPr>
          <w:b/>
          <w:lang w:val="en-CA"/>
        </w:rPr>
        <w:t>9.</w:t>
        <w:tab/>
      </w:r>
      <w:r>
        <w:rPr>
          <w:b/>
          <w:u w:val="single"/>
          <w:lang w:val="en-CA"/>
        </w:rPr>
        <w:t>No Waiver, Cumulative Rights</w:t>
      </w:r>
      <w:r>
        <w:rPr>
          <w:lang w:val="en-CA"/>
        </w:rPr>
        <w:t>.   No failure on the part of Counterparty to exercise, and no delay in exercising any right, remedy or power hereunder shall operate as a waiver thereof, nor shall any single or partial exercise by Counterparty of any right, remedy or power hereunder preclude any other or future exercise of any right, remedy or power.  Each and every right, remedy and power hereby granted to Counterparty or allowed it by law or other agreement shall be cumulative and not exclusive of any other, and may be exercised by Counterparty from time to time.</w:t>
      </w:r>
    </w:p>
    <w:p>
      <w:pPr>
        <w:pStyle w:val="Normal"/>
        <w:jc w:val="both"/>
        <w:rPr>
          <w:lang w:val="en-CA"/>
        </w:rPr>
      </w:pPr>
      <w:r>
        <w:rPr>
          <w:lang w:val="en-CA"/>
        </w:rPr>
      </w:r>
    </w:p>
    <w:p>
      <w:pPr>
        <w:pStyle w:val="Normal"/>
        <w:jc w:val="both"/>
        <w:rPr/>
      </w:pPr>
      <w:r>
        <w:rPr>
          <w:b/>
          <w:lang w:val="en-CA"/>
        </w:rPr>
        <w:t>10.</w:t>
        <w:tab/>
      </w:r>
      <w:r>
        <w:rPr>
          <w:b/>
          <w:u w:val="single"/>
          <w:lang w:val="en-CA"/>
        </w:rPr>
        <w:t>Waiver of Notice</w:t>
      </w:r>
      <w:r>
        <w:rPr>
          <w:lang w:val="en-CA"/>
        </w:rPr>
        <w:t>.   The Guarantor waives presentment to or demand of payment from anyone liable for any of the Obligations, notice of dishonour, protest, notice of any sale of collateral security, and all other notices that may otherwise be required by law.</w:t>
      </w:r>
    </w:p>
    <w:p>
      <w:pPr>
        <w:pStyle w:val="Normal"/>
        <w:jc w:val="both"/>
        <w:rPr>
          <w:u w:val="single"/>
          <w:lang w:val="en-CA"/>
        </w:rPr>
      </w:pPr>
      <w:r>
        <w:rPr>
          <w:u w:val="single"/>
          <w:lang w:val="en-CA"/>
        </w:rPr>
      </w:r>
    </w:p>
    <w:p>
      <w:pPr>
        <w:pStyle w:val="Normal"/>
        <w:jc w:val="both"/>
        <w:rPr>
          <w:u w:val="single"/>
          <w:lang w:val="en-CA"/>
        </w:rPr>
      </w:pPr>
      <w:r>
        <w:rPr>
          <w:u w:val="single"/>
          <w:lang w:val="en-CA"/>
        </w:rPr>
      </w:r>
    </w:p>
    <w:p>
      <w:pPr>
        <w:pStyle w:val="Normal"/>
        <w:keepNext w:val="true"/>
        <w:jc w:val="both"/>
        <w:rPr/>
      </w:pPr>
      <w:r>
        <w:rPr>
          <w:b/>
          <w:lang w:val="en-CA"/>
        </w:rPr>
        <w:t>11.</w:t>
        <w:tab/>
      </w:r>
      <w:r>
        <w:rPr>
          <w:b/>
          <w:u w:val="single"/>
          <w:lang w:val="en-CA"/>
        </w:rPr>
        <w:t>Representations and Warranties</w:t>
      </w:r>
      <w:r>
        <w:rPr>
          <w:lang w:val="en-CA"/>
        </w:rPr>
        <w:t>.</w:t>
      </w:r>
    </w:p>
    <w:p>
      <w:pPr>
        <w:pStyle w:val="Normal"/>
        <w:keepNext w:val="true"/>
        <w:jc w:val="both"/>
        <w:rPr>
          <w:lang w:val="en-CA"/>
        </w:rPr>
      </w:pPr>
      <w:r>
        <w:rPr>
          <w:lang w:val="en-CA"/>
        </w:rPr>
      </w:r>
    </w:p>
    <w:p>
      <w:pPr>
        <w:pStyle w:val="Normal"/>
        <w:keepNext w:val="true"/>
        <w:ind w:firstLine="720" w:end="0"/>
        <w:jc w:val="both"/>
        <w:rPr>
          <w:lang w:val="en-CA"/>
        </w:rPr>
      </w:pPr>
      <w:r>
        <w:rPr>
          <w:lang w:val="en-CA"/>
        </w:rPr>
        <w:t>(a)</w:t>
        <w:tab/>
        <w:t>The Guarantor is duly organized, validly existing, and in good standing under the laws of Canada and has full corporate power to execute, deliver and perform this Guarantee.</w:t>
      </w:r>
    </w:p>
    <w:p>
      <w:pPr>
        <w:pStyle w:val="Normal"/>
        <w:jc w:val="both"/>
        <w:rPr>
          <w:lang w:val="en-CA"/>
        </w:rPr>
      </w:pPr>
      <w:r>
        <w:rPr>
          <w:lang w:val="en-CA"/>
        </w:rPr>
      </w:r>
    </w:p>
    <w:p>
      <w:pPr>
        <w:pStyle w:val="Normal"/>
        <w:ind w:firstLine="720" w:end="0"/>
        <w:jc w:val="both"/>
        <w:rPr>
          <w:lang w:val="en-CA"/>
        </w:rPr>
      </w:pPr>
      <w:r>
        <w:rPr>
          <w:lang w:val="en-CA"/>
        </w:rPr>
        <w:t>(b)</w:t>
        <w:tab/>
        <w:t>The execution, delivery and performance of this Guarantee have been and remain duly authorized by all necessary corporate action and do not contravene any provision of the Guarantor's charter or by-laws, as amended to date, or any law, regulation, rule, decree, order, judgement, or contractual restriction binding on the Guarantor or its assets.</w:t>
      </w:r>
    </w:p>
    <w:p>
      <w:pPr>
        <w:pStyle w:val="Normal"/>
        <w:jc w:val="both"/>
        <w:rPr>
          <w:lang w:val="en-CA"/>
        </w:rPr>
      </w:pPr>
      <w:r>
        <w:rPr>
          <w:lang w:val="en-CA"/>
        </w:rPr>
      </w:r>
    </w:p>
    <w:p>
      <w:pPr>
        <w:pStyle w:val="Normal"/>
        <w:ind w:firstLine="720" w:end="0"/>
        <w:jc w:val="both"/>
        <w:rPr>
          <w:lang w:val="en-CA"/>
        </w:rPr>
      </w:pPr>
      <w:r>
        <w:rPr>
          <w:lang w:val="en-CA"/>
        </w:rPr>
        <w:t>(c)</w:t>
        <w:tab/>
        <w:t>All consents, licenses, clearances, authorizations and approvals of, and registrations and declarations with, any governmental authority or regulatory body necessary for the due execution, delivery and performance of this Guarantee have been obtained and remain in full force and effect and all conditions thereof have been duly complied with, and no other action by, and no notice of or filing with, any governmental authority or regulatory body is required in connection with the execution, delivery or performance of this Guarantee.</w:t>
      </w:r>
    </w:p>
    <w:p>
      <w:pPr>
        <w:pStyle w:val="Normal"/>
        <w:jc w:val="both"/>
        <w:rPr>
          <w:lang w:val="en-CA"/>
        </w:rPr>
      </w:pPr>
      <w:r>
        <w:rPr>
          <w:lang w:val="en-CA"/>
        </w:rPr>
      </w:r>
    </w:p>
    <w:p>
      <w:pPr>
        <w:pStyle w:val="Normal"/>
        <w:ind w:firstLine="720" w:end="0"/>
        <w:jc w:val="both"/>
        <w:rPr>
          <w:lang w:val="en-CA"/>
        </w:rPr>
      </w:pPr>
      <w:r>
        <w:rPr>
          <w:lang w:val="en-CA"/>
        </w:rPr>
        <w:t>(d)</w:t>
        <w:tab/>
        <w:t>This Guarantee constitutes the legal, valid and binding obligation of the Guarantor enforceable against the Guarantor in accordance with its terms, subject, as to enforceability to bankruptcy, insolvency, reorganization, moratorium and other laws of general applicability relating to or affecting creditor's rights and to equitable principles of general application.</w:t>
      </w:r>
    </w:p>
    <w:p>
      <w:pPr>
        <w:pStyle w:val="Normal"/>
        <w:jc w:val="both"/>
        <w:rPr>
          <w:lang w:val="en-CA"/>
        </w:rPr>
      </w:pPr>
      <w:r>
        <w:rPr>
          <w:lang w:val="en-CA"/>
        </w:rPr>
      </w:r>
    </w:p>
    <w:p>
      <w:pPr>
        <w:pStyle w:val="Normal"/>
        <w:jc w:val="both"/>
        <w:rPr/>
      </w:pPr>
      <w:r>
        <w:rPr>
          <w:b/>
          <w:lang w:val="en-CA"/>
        </w:rPr>
        <w:t>12.</w:t>
        <w:tab/>
      </w:r>
      <w:r>
        <w:rPr>
          <w:b/>
          <w:u w:val="single"/>
          <w:lang w:val="en-CA"/>
        </w:rPr>
        <w:t>Assignment</w:t>
      </w:r>
      <w:r>
        <w:rPr>
          <w:lang w:val="en-CA"/>
        </w:rPr>
        <w:t>.   Neither the Guarantor nor the Counterparty may assign its rights, interest or transfer, in accordance with the ISDA Agreement, any of its right, interests or obligations hereunder to any other person without the prior written consent of the Guarantor nor the Counterparty, as the case may be, provided that the Counterparty may assign its rights, interest or transfer, in accordance with the ISDA Agreement, any of its rights, interests or obligations hereunder to an assignee or transferee to which it has transferred its interest and obligations under the ISDA Agreement pursuant to section 6(b) or 7 thereof.</w:t>
      </w:r>
    </w:p>
    <w:p>
      <w:pPr>
        <w:pStyle w:val="Normal"/>
        <w:jc w:val="both"/>
        <w:rPr>
          <w:lang w:val="en-CA"/>
        </w:rPr>
      </w:pPr>
      <w:r>
        <w:rPr>
          <w:lang w:val="en-CA"/>
        </w:rPr>
      </w:r>
    </w:p>
    <w:p>
      <w:pPr>
        <w:pStyle w:val="Normal"/>
        <w:jc w:val="both"/>
        <w:rPr/>
      </w:pPr>
      <w:r>
        <w:rPr>
          <w:b/>
          <w:lang w:val="en-CA"/>
        </w:rPr>
        <w:t>13.</w:t>
        <w:tab/>
      </w:r>
      <w:r>
        <w:rPr>
          <w:b/>
          <w:u w:val="single"/>
          <w:lang w:val="en-CA"/>
        </w:rPr>
        <w:t>Governing Law and Jurisdiction</w:t>
      </w:r>
      <w:r>
        <w:rPr>
          <w:lang w:val="en-CA"/>
        </w:rPr>
        <w:t>.   This Guarantee shall be governed by, and construed in accordance with the laws of the Province of Quebec (Canada).  The Guarantor hereby irrevocably agrees for the benefit of the Counterparty that the court of the Province of Quebec (Canada) are to have exclusive jurisdiction to settle any dispute which may arise out of or in connection with this Guarantee and that accordingly any suit, action or proceedings (together referred to as "Proceedings") arising out of or in connection with this Guarantee may be brought in such courts.</w:t>
      </w:r>
    </w:p>
    <w:p>
      <w:pPr>
        <w:pStyle w:val="Normal"/>
        <w:jc w:val="both"/>
        <w:rPr>
          <w:lang w:val="en-CA"/>
        </w:rPr>
      </w:pPr>
      <w:r>
        <w:rPr>
          <w:lang w:val="en-CA"/>
        </w:rPr>
      </w:r>
    </w:p>
    <w:p>
      <w:pPr>
        <w:pStyle w:val="Normal"/>
        <w:jc w:val="both"/>
        <w:rPr/>
      </w:pPr>
      <w:r>
        <w:rPr>
          <w:b/>
          <w:lang w:val="en-CA"/>
        </w:rPr>
        <w:t>14.</w:t>
        <w:tab/>
      </w:r>
      <w:r>
        <w:rPr>
          <w:b/>
          <w:u w:val="single"/>
          <w:lang w:val="en-CA"/>
        </w:rPr>
        <w:t>Notices</w:t>
      </w:r>
      <w:r>
        <w:rPr>
          <w:lang w:val="en-CA"/>
        </w:rPr>
        <w:t>.   All notices concerning this Guarantee or demands on the Guarantor shall be deemed made when given, and shall be in writing and sent by facsimile transmission ("fax"), confirmed by registered mail, and addressed:</w:t>
      </w:r>
    </w:p>
    <w:p>
      <w:pPr>
        <w:pStyle w:val="Normal"/>
        <w:jc w:val="both"/>
        <w:rPr>
          <w:lang w:val="en-CA"/>
        </w:rPr>
      </w:pPr>
      <w:r>
        <w:rPr>
          <w:lang w:val="en-CA"/>
        </w:rPr>
      </w:r>
    </w:p>
    <w:p>
      <w:pPr>
        <w:pStyle w:val="Normal"/>
        <w:jc w:val="both"/>
        <w:rPr>
          <w:lang w:val="en-CA"/>
        </w:rPr>
      </w:pPr>
      <w:r>
        <w:rPr>
          <w:lang w:val="en-CA"/>
        </w:rPr>
        <w:t xml:space="preserve">to the Guarantor at: </w:t>
        <w:tab/>
        <w:tab/>
        <w:t>Address:</w:t>
        <w:tab/>
        <w:t>[Please advise]</w:t>
      </w:r>
    </w:p>
    <w:p>
      <w:pPr>
        <w:pStyle w:val="Normal"/>
        <w:jc w:val="both"/>
        <w:rPr>
          <w:lang w:val="en-CA"/>
        </w:rPr>
      </w:pPr>
      <w:r>
        <w:rPr>
          <w:lang w:val="en-CA"/>
        </w:rPr>
      </w:r>
    </w:p>
    <w:p>
      <w:pPr>
        <w:pStyle w:val="Normal"/>
        <w:ind w:firstLine="720" w:start="2160" w:end="0"/>
        <w:jc w:val="both"/>
        <w:rPr>
          <w:lang w:val="en-CA"/>
        </w:rPr>
      </w:pPr>
      <w:r>
        <w:rPr>
          <w:lang w:val="en-CA"/>
        </w:rPr>
        <w:t>Attention:</w:t>
        <w:tab/>
        <w:t>[Please advise]</w:t>
      </w:r>
    </w:p>
    <w:p>
      <w:pPr>
        <w:pStyle w:val="Normal"/>
        <w:jc w:val="both"/>
        <w:rPr>
          <w:lang w:val="en-CA"/>
        </w:rPr>
      </w:pPr>
      <w:r>
        <w:rPr>
          <w:lang w:val="en-CA"/>
        </w:rPr>
      </w:r>
    </w:p>
    <w:p>
      <w:pPr>
        <w:pStyle w:val="Normal"/>
        <w:ind w:firstLine="720" w:start="2160" w:end="0"/>
        <w:jc w:val="both"/>
        <w:rPr>
          <w:lang w:val="en-CA"/>
        </w:rPr>
      </w:pPr>
      <w:r>
        <w:rPr>
          <w:lang w:val="en-CA"/>
        </w:rPr>
        <w:t xml:space="preserve">Fax Number: </w:t>
        <w:tab/>
        <w:t>[Please advise]</w:t>
      </w:r>
    </w:p>
    <w:p>
      <w:pPr>
        <w:pStyle w:val="Normal"/>
        <w:jc w:val="both"/>
        <w:rPr>
          <w:lang w:val="en-CA"/>
        </w:rPr>
      </w:pPr>
      <w:r>
        <w:rPr>
          <w:lang w:val="en-CA"/>
        </w:rPr>
      </w:r>
    </w:p>
    <w:p>
      <w:pPr>
        <w:pStyle w:val="Normal"/>
        <w:jc w:val="both"/>
        <w:rPr>
          <w:lang w:val="en-CA"/>
        </w:rPr>
      </w:pPr>
      <w:r>
        <w:rPr>
          <w:lang w:val="en-CA"/>
        </w:rPr>
        <w:t>to the Counterparty at:</w:t>
        <w:tab/>
        <w:t>Address:</w:t>
        <w:tab/>
        <w:t>National Bank of Canada</w:t>
      </w:r>
    </w:p>
    <w:p>
      <w:pPr>
        <w:pStyle w:val="Normal"/>
        <w:ind w:firstLine="720" w:start="3600" w:end="0"/>
        <w:jc w:val="both"/>
        <w:rPr/>
      </w:pPr>
      <w:r>
        <w:rPr>
          <w:lang w:val="en-CA"/>
        </w:rPr>
        <w:t>1155 Metcalfe, 1</w:t>
      </w:r>
      <w:r>
        <w:rPr>
          <w:vertAlign w:val="superscript"/>
          <w:lang w:val="en-CA"/>
        </w:rPr>
        <w:t>st</w:t>
      </w:r>
      <w:r>
        <w:rPr>
          <w:lang w:val="en-CA"/>
        </w:rPr>
        <w:t xml:space="preserve"> Floor</w:t>
      </w:r>
    </w:p>
    <w:p>
      <w:pPr>
        <w:pStyle w:val="Normal"/>
        <w:ind w:firstLine="720" w:start="3600" w:end="0"/>
        <w:jc w:val="both"/>
        <w:rPr>
          <w:lang w:val="en-CA"/>
        </w:rPr>
      </w:pPr>
      <w:r>
        <w:rPr>
          <w:lang w:val="en-CA"/>
        </w:rPr>
        <w:t>Montreal, Quebec H3B 5G2 [Please advise]</w:t>
      </w:r>
    </w:p>
    <w:p>
      <w:pPr>
        <w:pStyle w:val="Normal"/>
        <w:jc w:val="both"/>
        <w:rPr>
          <w:lang w:val="en-CA"/>
        </w:rPr>
      </w:pPr>
      <w:r>
        <w:rPr>
          <w:lang w:val="en-CA"/>
        </w:rPr>
      </w:r>
    </w:p>
    <w:p>
      <w:pPr>
        <w:pStyle w:val="Normal"/>
        <w:ind w:firstLine="720" w:start="2160" w:end="0"/>
        <w:jc w:val="both"/>
        <w:rPr>
          <w:lang w:val="en-CA"/>
        </w:rPr>
      </w:pPr>
      <w:r>
        <w:rPr>
          <w:lang w:val="en-CA"/>
        </w:rPr>
        <w:t>Attention:</w:t>
        <w:tab/>
        <w:t>Vice-President, Risk Management and</w:t>
      </w:r>
    </w:p>
    <w:p>
      <w:pPr>
        <w:pStyle w:val="Normal"/>
        <w:ind w:firstLine="720" w:start="3600" w:end="0"/>
        <w:jc w:val="both"/>
        <w:rPr>
          <w:lang w:val="en-CA"/>
        </w:rPr>
      </w:pPr>
      <w:r>
        <w:rPr>
          <w:lang w:val="en-CA"/>
        </w:rPr>
        <w:t>Administration, Financial Markets</w:t>
      </w:r>
    </w:p>
    <w:p>
      <w:pPr>
        <w:pStyle w:val="Normal"/>
        <w:jc w:val="both"/>
        <w:rPr>
          <w:lang w:val="en-CA"/>
        </w:rPr>
      </w:pPr>
      <w:r>
        <w:rPr>
          <w:lang w:val="en-CA"/>
        </w:rPr>
      </w:r>
    </w:p>
    <w:p>
      <w:pPr>
        <w:pStyle w:val="Normal"/>
        <w:ind w:firstLine="720" w:start="2160" w:end="0"/>
        <w:jc w:val="both"/>
        <w:rPr>
          <w:lang w:val="en-CA"/>
        </w:rPr>
      </w:pPr>
      <w:r>
        <w:rPr>
          <w:lang w:val="en-CA"/>
        </w:rPr>
        <w:t>Fax Number:</w:t>
        <w:tab/>
        <w:t>(514) 394- 6268</w:t>
      </w:r>
    </w:p>
    <w:p>
      <w:pPr>
        <w:pStyle w:val="Normal"/>
        <w:jc w:val="both"/>
        <w:rPr>
          <w:lang w:val="en-CA"/>
        </w:rPr>
      </w:pPr>
      <w:r>
        <w:rPr>
          <w:lang w:val="en-CA"/>
        </w:rPr>
      </w:r>
    </w:p>
    <w:p>
      <w:pPr>
        <w:pStyle w:val="Normal"/>
        <w:jc w:val="both"/>
        <w:rPr>
          <w:lang w:val="en-CA"/>
        </w:rPr>
      </w:pPr>
      <w:r>
        <w:rPr>
          <w:lang w:val="en-CA"/>
        </w:rPr>
        <w:t>Each party may amend its address for notice by giving notice hereunder to the other party.</w:t>
      </w:r>
    </w:p>
    <w:p>
      <w:pPr>
        <w:pStyle w:val="Normal"/>
        <w:jc w:val="both"/>
        <w:rPr>
          <w:lang w:val="en-CA"/>
        </w:rPr>
      </w:pPr>
      <w:r>
        <w:rPr>
          <w:lang w:val="en-CA"/>
        </w:rPr>
      </w:r>
    </w:p>
    <w:p>
      <w:pPr>
        <w:pStyle w:val="Normal"/>
        <w:jc w:val="both"/>
        <w:rPr>
          <w:lang w:val="en-CA"/>
        </w:rPr>
      </w:pPr>
      <w:r>
        <w:rPr>
          <w:lang w:val="en-CA"/>
        </w:rPr>
        <w:t>IN WITNESS WHEREOF, this Guarantee has been duly executed and delivered by the Guarantor as of the date first above written.</w:t>
      </w:r>
    </w:p>
    <w:p>
      <w:pPr>
        <w:pStyle w:val="Normal"/>
        <w:jc w:val="both"/>
        <w:rPr>
          <w:lang w:val="en-CA"/>
        </w:rPr>
      </w:pPr>
      <w:r>
        <w:rPr>
          <w:lang w:val="en-CA"/>
        </w:rPr>
      </w:r>
    </w:p>
    <w:tbl>
      <w:tblPr>
        <w:tblW w:w="9790" w:type="dxa"/>
        <w:jc w:val="start"/>
        <w:tblInd w:w="0" w:type="dxa"/>
        <w:tblLayout w:type="fixed"/>
        <w:tblCellMar>
          <w:top w:w="0" w:type="dxa"/>
          <w:start w:w="70" w:type="dxa"/>
          <w:bottom w:w="0" w:type="dxa"/>
          <w:end w:w="70" w:type="dxa"/>
        </w:tblCellMar>
      </w:tblPr>
      <w:tblGrid>
        <w:gridCol w:w="4930"/>
        <w:gridCol w:w="4860"/>
      </w:tblGrid>
      <w:tr>
        <w:trPr/>
        <w:tc>
          <w:tcPr>
            <w:tcW w:w="4930" w:type="dxa"/>
            <w:tcBorders/>
          </w:tcPr>
          <w:p>
            <w:pPr>
              <w:pStyle w:val="Normal"/>
              <w:tabs>
                <w:tab w:val="clear" w:pos="720"/>
                <w:tab w:val="right" w:pos="4320" w:leader="none"/>
              </w:tabs>
              <w:snapToGrid w:val="false"/>
              <w:jc w:val="both"/>
              <w:rPr>
                <w:lang w:val="en-CA"/>
              </w:rPr>
            </w:pPr>
            <w:r>
              <w:rPr>
                <w:lang w:val="en-CA"/>
              </w:rPr>
            </w:r>
          </w:p>
        </w:tc>
        <w:tc>
          <w:tcPr>
            <w:tcW w:w="4860" w:type="dxa"/>
            <w:tcBorders/>
          </w:tcPr>
          <w:p>
            <w:pPr>
              <w:pStyle w:val="Normal"/>
              <w:jc w:val="both"/>
              <w:rPr>
                <w:b/>
                <w:lang w:val="en-CA"/>
              </w:rPr>
            </w:pPr>
            <w:r>
              <w:rPr>
                <w:b/>
                <w:lang w:val="en-CA"/>
              </w:rPr>
              <w:t>[Name of Guarantor]</w:t>
            </w:r>
          </w:p>
          <w:p>
            <w:pPr>
              <w:pStyle w:val="Normal"/>
              <w:jc w:val="both"/>
              <w:rPr>
                <w:b/>
                <w:lang w:val="en-CA"/>
              </w:rPr>
            </w:pPr>
            <w:r>
              <w:rPr>
                <w:b/>
                <w:lang w:val="en-CA"/>
              </w:rPr>
            </w:r>
          </w:p>
          <w:p>
            <w:pPr>
              <w:pStyle w:val="Normal"/>
              <w:jc w:val="both"/>
              <w:rPr>
                <w:lang w:val="en-CA"/>
              </w:rPr>
            </w:pPr>
            <w:r>
              <w:rPr>
                <w:lang w:val="en-CA"/>
              </w:rPr>
              <w:t>By:</w:t>
              <w:tab/>
              <w:t>_______________________________</w:t>
            </w:r>
          </w:p>
          <w:p>
            <w:pPr>
              <w:pStyle w:val="Normal"/>
              <w:jc w:val="both"/>
              <w:rPr>
                <w:lang w:val="en-CA"/>
              </w:rPr>
            </w:pPr>
            <w:r>
              <w:rPr>
                <w:lang w:val="en-CA"/>
              </w:rPr>
              <w:tab/>
              <w:t>Name:</w:t>
              <w:tab/>
            </w:r>
          </w:p>
          <w:p>
            <w:pPr>
              <w:pStyle w:val="Normal"/>
              <w:jc w:val="both"/>
              <w:rPr>
                <w:lang w:val="en-CA"/>
              </w:rPr>
            </w:pPr>
            <w:r>
              <w:rPr>
                <w:lang w:val="en-CA"/>
              </w:rPr>
              <w:tab/>
              <w:t>Title:</w:t>
              <w:tab/>
            </w:r>
          </w:p>
          <w:p>
            <w:pPr>
              <w:pStyle w:val="Normal"/>
              <w:jc w:val="both"/>
              <w:rPr>
                <w:lang w:val="en-CA"/>
              </w:rPr>
            </w:pPr>
            <w:r>
              <w:rPr>
                <w:lang w:val="en-CA"/>
              </w:rPr>
            </w:r>
          </w:p>
          <w:p>
            <w:pPr>
              <w:pStyle w:val="Normal"/>
              <w:jc w:val="both"/>
              <w:rPr>
                <w:lang w:val="en-CA"/>
              </w:rPr>
            </w:pPr>
            <w:r>
              <w:rPr>
                <w:lang w:val="en-CA"/>
              </w:rPr>
            </w:r>
          </w:p>
          <w:p>
            <w:pPr>
              <w:pStyle w:val="Normal"/>
              <w:jc w:val="both"/>
              <w:rPr>
                <w:lang w:val="en-CA"/>
              </w:rPr>
            </w:pPr>
            <w:r>
              <w:rPr>
                <w:lang w:val="en-CA"/>
              </w:rPr>
              <w:t>By:</w:t>
              <w:tab/>
              <w:t>_______________________________</w:t>
            </w:r>
          </w:p>
          <w:p>
            <w:pPr>
              <w:pStyle w:val="Normal"/>
              <w:jc w:val="both"/>
              <w:rPr>
                <w:lang w:val="en-CA"/>
              </w:rPr>
            </w:pPr>
            <w:r>
              <w:rPr>
                <w:lang w:val="en-CA"/>
              </w:rPr>
              <w:tab/>
              <w:t>Name:</w:t>
              <w:tab/>
            </w:r>
          </w:p>
          <w:p>
            <w:pPr>
              <w:pStyle w:val="Normal"/>
              <w:jc w:val="both"/>
              <w:rPr>
                <w:lang w:val="en-CA"/>
              </w:rPr>
            </w:pPr>
            <w:r>
              <w:rPr>
                <w:lang w:val="en-CA"/>
              </w:rPr>
              <w:tab/>
              <w:t>Title:</w:t>
              <w:tab/>
            </w:r>
          </w:p>
        </w:tc>
      </w:tr>
    </w:tbl>
    <w:p>
      <w:pPr>
        <w:pStyle w:val="Normal"/>
        <w:jc w:val="both"/>
        <w:rPr>
          <w:lang w:val="en-CA"/>
        </w:rPr>
      </w:pPr>
      <w:r>
        <w:rPr>
          <w:lang w:val="en-CA"/>
        </w:rPr>
      </w:r>
    </w:p>
    <w:sectPr>
      <w:footerReference w:type="default" r:id="rId2"/>
      <w:type w:val="nextPage"/>
      <w:pgSz w:w="12240" w:h="15840"/>
      <w:pgMar w:left="1296" w:right="1296"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fr-FR" w:bidi="hi-IN"/>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2000-09-26T17:50:00Z</dcterms:created>
  <dc:creator>Anne Joseph</dc:creator>
  <dc:description/>
  <dc:language>en-CA</dc:language>
  <cp:lastModifiedBy>D11M</cp:lastModifiedBy>
  <cp:lastPrinted>2000-02-08T16:47:00Z</cp:lastPrinted>
  <dcterms:modified xsi:type="dcterms:W3CDTF">2000-09-26T17:50:00Z</dcterms:modified>
  <cp:revision>2</cp:revision>
  <dc:subject/>
  <dc:title/>
</cp:coreProperties>
</file>