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 GUARANTEE AGREEMENT</w:t>
      </w:r>
    </w:p>
    <w:p>
      <w:pPr>
        <w:pStyle w:val="Normal"/>
        <w:jc w:val="center"/>
        <w:rPr>
          <w:sz w:val="18"/>
        </w:rPr>
      </w:pPr>
      <w:r>
        <w:rPr>
          <w:sz w:val="18"/>
        </w:rPr>
      </w:r>
    </w:p>
    <w:p>
      <w:pPr>
        <w:pStyle w:val="Heading2"/>
        <w:rPr/>
      </w:pPr>
      <w:r>
        <w:rPr>
          <w:rFonts w:cs="Arial" w:ascii="Arial" w:hAnsi="Arial"/>
          <w:sz w:val="18"/>
        </w:rPr>
        <w:t>This Guarantee Agreement (this “</w:t>
      </w:r>
      <w:r>
        <w:rPr>
          <w:rFonts w:cs="Arial" w:ascii="Arial" w:hAnsi="Arial"/>
          <w:sz w:val="18"/>
          <w:u w:val="single"/>
        </w:rPr>
        <w:t>Guarantee</w:t>
      </w:r>
      <w:r>
        <w:rPr>
          <w:rFonts w:cs="Arial" w:ascii="Arial" w:hAnsi="Arial"/>
          <w:sz w:val="18"/>
        </w:rPr>
        <w:t>”), dated as of November 7, 2000, is made and entered into between Enron Corp., an Oregon corporation (“</w:t>
      </w:r>
      <w:r>
        <w:rPr>
          <w:rFonts w:cs="Arial" w:ascii="Arial" w:hAnsi="Arial"/>
          <w:sz w:val="18"/>
          <w:u w:val="single"/>
        </w:rPr>
        <w:t>Guarantor</w:t>
      </w:r>
      <w:r>
        <w:rPr>
          <w:rFonts w:cs="Arial" w:ascii="Arial" w:hAnsi="Arial"/>
          <w:sz w:val="18"/>
        </w:rPr>
        <w:t xml:space="preserve">”), and Omers Resources Limited, </w:t>
      </w:r>
      <w:r>
        <w:rPr>
          <w:rFonts w:cs="Arial" w:ascii="Arial" w:hAnsi="Arial"/>
          <w:color w:val="0000FF"/>
          <w:sz w:val="18"/>
        </w:rPr>
        <w:t>an Ontario corporation</w:t>
      </w:r>
      <w:r>
        <w:rPr>
          <w:rFonts w:cs="Arial" w:ascii="Arial" w:hAnsi="Arial"/>
          <w:sz w:val="18"/>
        </w:rPr>
        <w:t xml:space="preserve"> (“</w:t>
      </w:r>
      <w:r>
        <w:rPr>
          <w:rFonts w:cs="Arial" w:ascii="Arial" w:hAnsi="Arial"/>
          <w:sz w:val="18"/>
          <w:u w:val="single"/>
        </w:rPr>
        <w:t>Contract Party</w:t>
      </w:r>
      <w:r>
        <w:rPr>
          <w:rFonts w:cs="Arial" w:ascii="Arial" w:hAnsi="Arial"/>
          <w:sz w:val="18"/>
        </w:rPr>
        <w:t>”).</w:t>
      </w:r>
    </w:p>
    <w:p>
      <w:pPr>
        <w:pStyle w:val="Justified"/>
        <w:spacing w:before="0" w:after="0"/>
        <w:rPr>
          <w:rFonts w:ascii="Arial" w:hAnsi="Arial" w:cs="Arial"/>
          <w:sz w:val="18"/>
        </w:rPr>
      </w:pPr>
      <w:r>
        <w:rPr>
          <w:rFonts w:cs="Arial" w:ascii="Arial" w:hAnsi="Arial"/>
          <w:sz w:val="18"/>
        </w:rPr>
      </w:r>
    </w:p>
    <w:p>
      <w:pPr>
        <w:pStyle w:val="Heading2"/>
        <w:rPr/>
      </w:pPr>
      <w:r>
        <w:rPr>
          <w:rFonts w:cs="Arial" w:ascii="Arial" w:hAnsi="Arial"/>
          <w:sz w:val="18"/>
        </w:rPr>
        <w:t>WHEREAS, (a) Contract Party and Enron Canada Corp., a wholly owned indirect subsidiary of Guarantor (“</w:t>
      </w:r>
      <w:r>
        <w:rPr>
          <w:rFonts w:cs="Arial" w:ascii="Arial" w:hAnsi="Arial"/>
          <w:sz w:val="18"/>
          <w:u w:val="single"/>
        </w:rPr>
        <w:t>Obligor</w:t>
      </w:r>
      <w:r>
        <w:rPr>
          <w:rFonts w:cs="Arial" w:ascii="Arial" w:hAnsi="Arial"/>
          <w:sz w:val="18"/>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rFonts w:cs="Arial" w:ascii="Arial" w:hAnsi="Arial"/>
          <w:sz w:val="18"/>
          <w:u w:val="single"/>
        </w:rPr>
        <w:t>Gas Contract</w:t>
      </w:r>
      <w:r>
        <w:rPr>
          <w:rFonts w:cs="Arial" w:ascii="Arial" w:hAnsi="Arial"/>
          <w:sz w:val="18"/>
        </w:rPr>
        <w:t>”), (b) Guarantor will directly or indirectly benefit from the Gas Contract and (c) as a condition precedent to the execution of the Gas Contract, Contract Party has required that Guarantor unconditionally guarantee to Contract Party all payment obligations of Obligor under the Gas Contract.</w:t>
      </w:r>
    </w:p>
    <w:p>
      <w:pPr>
        <w:pStyle w:val="Heading2"/>
        <w:rPr>
          <w:rFonts w:ascii="Arial" w:hAnsi="Arial" w:cs="Arial"/>
          <w:sz w:val="18"/>
        </w:rPr>
      </w:pPr>
      <w:r>
        <w:rPr>
          <w:rFonts w:cs="Arial" w:ascii="Arial" w:hAnsi="Arial"/>
          <w:sz w:val="18"/>
        </w:rPr>
        <w:t>NOW THEREFORE, to induce Contract Party to enter into the Gas Contract, Guarantor agrees as follows:</w:t>
      </w:r>
    </w:p>
    <w:p>
      <w:pPr>
        <w:pStyle w:val="Justified"/>
        <w:spacing w:before="0" w:after="0"/>
        <w:rPr>
          <w:rFonts w:ascii="Arial" w:hAnsi="Arial" w:cs="Arial"/>
          <w:sz w:val="18"/>
        </w:rPr>
      </w:pPr>
      <w:r>
        <w:rPr>
          <w:rFonts w:cs="Arial" w:ascii="Arial" w:hAnsi="Arial"/>
          <w:sz w:val="18"/>
        </w:rPr>
      </w:r>
    </w:p>
    <w:p>
      <w:pPr>
        <w:pStyle w:val="Normal"/>
        <w:ind w:hanging="720" w:start="720" w:end="0"/>
        <w:jc w:val="both"/>
        <w:rPr/>
      </w:pPr>
      <w:r>
        <w:rPr>
          <w:b/>
          <w:sz w:val="18"/>
        </w:rPr>
        <w:t>1.</w:t>
        <w:tab/>
      </w:r>
      <w:r>
        <w:rPr>
          <w:b/>
          <w:sz w:val="18"/>
          <w:u w:val="single"/>
        </w:rPr>
        <w:t>PAYMENT GUARANTEE</w:t>
      </w:r>
      <w:r>
        <w:rPr>
          <w:sz w:val="18"/>
        </w:rPr>
        <w:t>.  Guarantor absolutely, irrevocably and unconditionally guarantees to Contract Party all payment obligations of Obligor set forth in the Gas Contract and interest thereon accrued as provided in the Gas Contract (the “</w:t>
      </w:r>
      <w:r>
        <w:rPr>
          <w:sz w:val="18"/>
          <w:u w:val="single"/>
        </w:rPr>
        <w:t>Obligations</w:t>
      </w:r>
      <w:r>
        <w:rPr>
          <w:sz w:val="18"/>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Gas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(g) the release or waiver, by operation of law or otherwise, of the performance or observance by any co-guarantor, surety, endorser or other obligor of any express or implied covenant, term or condition to be performed or observed by it under the Gas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thirty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sz w:val="18"/>
        </w:rPr>
      </w:pPr>
      <w:r>
        <w:rPr>
          <w:sz w:val="18"/>
        </w:rPr>
      </w:r>
    </w:p>
    <w:p>
      <w:pPr>
        <w:pStyle w:val="Normal"/>
        <w:ind w:hanging="720" w:start="720" w:end="0"/>
        <w:jc w:val="both"/>
        <w:rPr/>
      </w:pPr>
      <w:r>
        <w:rPr>
          <w:b/>
          <w:sz w:val="18"/>
        </w:rPr>
        <w:t>2.</w:t>
        <w:tab/>
      </w:r>
      <w:r>
        <w:rPr>
          <w:b/>
          <w:sz w:val="18"/>
          <w:u w:val="single"/>
        </w:rPr>
        <w:t>MAXIMUM LIMIT</w:t>
      </w:r>
      <w:r>
        <w:rPr>
          <w:sz w:val="18"/>
        </w:rPr>
        <w:t xml:space="preserve">.  The amount covered by this Guarantee for all Obligations in respect of the aggregate of all Transactions under the Gas Contract that ever shall be required to be paid by Guarantor shall not exceed </w:t>
      </w:r>
      <w:r>
        <w:rPr>
          <w:color w:val="0000FF"/>
          <w:sz w:val="18"/>
        </w:rPr>
        <w:t>U.S.</w:t>
      </w:r>
      <w:r>
        <w:rPr>
          <w:sz w:val="18"/>
        </w:rPr>
        <w:t xml:space="preserve"> </w:t>
      </w:r>
      <w:r>
        <w:rPr>
          <w:color w:val="0000FF"/>
          <w:sz w:val="18"/>
        </w:rPr>
        <w:t>$5 million</w:t>
      </w:r>
      <w:r>
        <w:rPr>
          <w:sz w:val="18"/>
        </w:rPr>
        <w:t xml:space="preserve"> (the “</w:t>
      </w:r>
      <w:r>
        <w:rPr>
          <w:sz w:val="18"/>
          <w:u w:val="single"/>
        </w:rPr>
        <w:t>Maximum Limit</w:t>
      </w:r>
      <w:r>
        <w:rPr>
          <w:sz w:val="18"/>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sz w:val="18"/>
        </w:rPr>
      </w:pPr>
      <w:r>
        <w:rPr>
          <w:sz w:val="18"/>
        </w:rPr>
      </w:r>
    </w:p>
    <w:p>
      <w:pPr>
        <w:pStyle w:val="Normal"/>
        <w:ind w:hanging="720" w:start="720" w:end="0"/>
        <w:jc w:val="both"/>
        <w:rPr/>
      </w:pPr>
      <w:r>
        <w:rPr>
          <w:b/>
          <w:sz w:val="18"/>
        </w:rPr>
        <w:t>3.</w:t>
        <w:tab/>
      </w:r>
      <w:r>
        <w:rPr>
          <w:b/>
          <w:sz w:val="18"/>
          <w:u w:val="single"/>
        </w:rPr>
        <w:t>DEFENSES</w:t>
      </w:r>
      <w:r>
        <w:rPr>
          <w:sz w:val="18"/>
        </w:rPr>
        <w:t>.  Other than as expressly waived in this Guarantee, Guarantor retains its own defenses and rights hereunder.  Guarantor may assume and assert all rights, setoffs, counterclaims and other defenses of Obligor relating to the Obligations, except for any rights, setoffs, counterclaims and other defenses arising out of the bankruptcy, insolvency, dissolution or liquidation of Obligor.</w:t>
      </w:r>
    </w:p>
    <w:p>
      <w:pPr>
        <w:pStyle w:val="Normal"/>
        <w:ind w:hanging="360" w:start="360" w:end="0"/>
        <w:jc w:val="both"/>
        <w:rPr>
          <w:sz w:val="18"/>
        </w:rPr>
      </w:pPr>
      <w:r>
        <w:rPr>
          <w:sz w:val="18"/>
        </w:rPr>
      </w:r>
    </w:p>
    <w:p>
      <w:pPr>
        <w:pStyle w:val="Normal"/>
        <w:ind w:hanging="720" w:start="720" w:end="0"/>
        <w:jc w:val="both"/>
        <w:rPr/>
      </w:pPr>
      <w:r>
        <w:rPr>
          <w:b/>
          <w:sz w:val="18"/>
        </w:rPr>
        <w:t>4.</w:t>
        <w:tab/>
      </w:r>
      <w:r>
        <w:rPr>
          <w:b/>
          <w:sz w:val="18"/>
          <w:u w:val="single"/>
        </w:rPr>
        <w:t>DEFAULT</w:t>
      </w:r>
      <w:r>
        <w:rPr>
          <w:sz w:val="18"/>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sz w:val="18"/>
        </w:rPr>
      </w:pPr>
      <w:r>
        <w:rPr>
          <w:sz w:val="18"/>
        </w:rPr>
      </w:r>
    </w:p>
    <w:p>
      <w:pPr>
        <w:pStyle w:val="Normal"/>
        <w:ind w:hanging="720" w:start="720" w:end="0"/>
        <w:jc w:val="both"/>
        <w:rPr/>
      </w:pPr>
      <w:r>
        <w:rPr>
          <w:b/>
          <w:sz w:val="18"/>
        </w:rPr>
        <w:t>5.</w:t>
        <w:tab/>
      </w:r>
      <w:r>
        <w:rPr>
          <w:b/>
          <w:sz w:val="18"/>
          <w:u w:val="single"/>
        </w:rPr>
        <w:t>REPRESENTATIONS AND WARRANTIES</w:t>
      </w:r>
      <w:r>
        <w:rPr>
          <w:sz w:val="18"/>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sz w:val="18"/>
        </w:rPr>
      </w:pPr>
      <w:r>
        <w:rPr>
          <w:sz w:val="18"/>
        </w:rPr>
      </w:r>
    </w:p>
    <w:p>
      <w:pPr>
        <w:pStyle w:val="Normal"/>
        <w:ind w:hanging="720" w:start="720" w:end="0"/>
        <w:jc w:val="both"/>
        <w:rPr/>
      </w:pPr>
      <w:r>
        <w:rPr>
          <w:b/>
          <w:sz w:val="18"/>
        </w:rPr>
        <w:t>6.</w:t>
        <w:tab/>
      </w:r>
      <w:r>
        <w:rPr>
          <w:b/>
          <w:sz w:val="18"/>
          <w:u w:val="single"/>
        </w:rPr>
        <w:t>NOTICE</w:t>
      </w:r>
      <w:r>
        <w:rPr>
          <w:sz w:val="18"/>
        </w:rPr>
        <w:t>.  All notices and communications made pursuant to this Guarantee shall be in writing and delivered personally or mailed by certified mail, postage prepaid and return receipt requested, or sent by facsimile, as follows:</w:t>
      </w:r>
    </w:p>
    <w:p>
      <w:pPr>
        <w:pStyle w:val="Normal"/>
        <w:ind w:hanging="720" w:start="720" w:end="0"/>
        <w:jc w:val="both"/>
        <w:rPr>
          <w:sz w:val="18"/>
        </w:rPr>
      </w:pPr>
      <w:r>
        <w:rPr>
          <w:sz w:val="18"/>
        </w:rPr>
      </w:r>
    </w:p>
    <w:p>
      <w:pPr>
        <w:pStyle w:val="Normal"/>
        <w:ind w:start="720" w:end="0"/>
        <w:jc w:val="both"/>
        <w:rPr>
          <w:sz w:val="18"/>
          <w:u w:val="single"/>
        </w:rPr>
      </w:pPr>
      <w:r>
        <w:rPr>
          <w:sz w:val="18"/>
          <w:u w:val="single"/>
        </w:rPr>
        <w:t>To Guarantor:</w:t>
      </w:r>
    </w:p>
    <w:p>
      <w:pPr>
        <w:pStyle w:val="Normal"/>
        <w:ind w:start="720" w:end="0"/>
        <w:jc w:val="both"/>
        <w:rPr>
          <w:sz w:val="18"/>
          <w:u w:val="single"/>
        </w:rPr>
      </w:pPr>
      <w:r>
        <w:rPr>
          <w:sz w:val="18"/>
          <w:u w:val="single"/>
        </w:rPr>
      </w:r>
    </w:p>
    <w:p>
      <w:pPr>
        <w:pStyle w:val="Normal"/>
        <w:ind w:start="720" w:end="0"/>
        <w:jc w:val="both"/>
        <w:rPr>
          <w:sz w:val="18"/>
        </w:rPr>
      </w:pPr>
      <w:r>
        <w:rPr>
          <w:sz w:val="18"/>
        </w:rPr>
        <w:t>Enron Corp.</w:t>
      </w:r>
    </w:p>
    <w:p>
      <w:pPr>
        <w:pStyle w:val="Normal"/>
        <w:ind w:start="720" w:end="0"/>
        <w:jc w:val="both"/>
        <w:rPr>
          <w:sz w:val="18"/>
        </w:rPr>
      </w:pPr>
      <w:r>
        <w:rPr>
          <w:sz w:val="18"/>
        </w:rPr>
        <w:t>1400 Smith Street</w:t>
      </w:r>
    </w:p>
    <w:p>
      <w:pPr>
        <w:pStyle w:val="Normal"/>
        <w:ind w:start="720" w:end="0"/>
        <w:jc w:val="both"/>
        <w:rPr>
          <w:sz w:val="18"/>
        </w:rPr>
      </w:pPr>
      <w:r>
        <w:rPr>
          <w:sz w:val="18"/>
        </w:rPr>
        <w:t>Houston, Texas  77251</w:t>
      </w:r>
    </w:p>
    <w:p>
      <w:pPr>
        <w:pStyle w:val="Normal"/>
        <w:ind w:start="720" w:end="0"/>
        <w:jc w:val="both"/>
        <w:rPr>
          <w:sz w:val="18"/>
        </w:rPr>
      </w:pPr>
      <w:r>
        <w:rPr>
          <w:sz w:val="18"/>
        </w:rPr>
        <w:t>Attention:  Vice President, Finance and Treasurer</w:t>
      </w:r>
    </w:p>
    <w:p>
      <w:pPr>
        <w:pStyle w:val="Normal"/>
        <w:ind w:start="720" w:end="0"/>
        <w:jc w:val="both"/>
        <w:rPr>
          <w:sz w:val="18"/>
          <w:u w:val="single"/>
        </w:rPr>
      </w:pPr>
      <w:r>
        <w:rPr>
          <w:sz w:val="18"/>
        </w:rPr>
        <w:t>Facsimile:  (713) 853-3920</w:t>
      </w:r>
    </w:p>
    <w:p>
      <w:pPr>
        <w:pStyle w:val="Normal"/>
        <w:ind w:start="720" w:end="0"/>
        <w:jc w:val="both"/>
        <w:rPr>
          <w:sz w:val="18"/>
          <w:u w:val="single"/>
        </w:rPr>
      </w:pPr>
      <w:r>
        <w:rPr>
          <w:sz w:val="18"/>
          <w:u w:val="single"/>
        </w:rPr>
      </w:r>
    </w:p>
    <w:p>
      <w:pPr>
        <w:pStyle w:val="Normal"/>
        <w:keepNext w:val="true"/>
        <w:ind w:start="720" w:end="0"/>
        <w:jc w:val="both"/>
        <w:rPr>
          <w:sz w:val="18"/>
          <w:u w:val="single"/>
        </w:rPr>
      </w:pPr>
      <w:r>
        <w:rPr>
          <w:sz w:val="18"/>
          <w:u w:val="single"/>
        </w:rPr>
        <w:t>To Contract Party:</w:t>
      </w:r>
    </w:p>
    <w:p>
      <w:pPr>
        <w:pStyle w:val="Normal"/>
        <w:keepNext w:val="true"/>
        <w:ind w:start="720" w:end="0"/>
        <w:jc w:val="both"/>
        <w:rPr>
          <w:sz w:val="18"/>
          <w:u w:val="single"/>
        </w:rPr>
      </w:pPr>
      <w:r>
        <w:rPr>
          <w:sz w:val="18"/>
          <w:u w:val="single"/>
        </w:rPr>
      </w:r>
    </w:p>
    <w:p>
      <w:pPr>
        <w:pStyle w:val="Normal"/>
        <w:keepNext w:val="true"/>
        <w:ind w:start="720" w:end="0"/>
        <w:jc w:val="both"/>
        <w:rPr>
          <w:color w:val="0000FF"/>
          <w:sz w:val="18"/>
        </w:rPr>
      </w:pPr>
      <w:r>
        <w:rPr>
          <w:color w:val="0000FF"/>
          <w:sz w:val="18"/>
        </w:rPr>
        <w:t>Omers Resources Limited</w:t>
      </w:r>
    </w:p>
    <w:p>
      <w:pPr>
        <w:pStyle w:val="Normal"/>
        <w:keepNext w:val="true"/>
        <w:ind w:start="720" w:end="0"/>
        <w:jc w:val="both"/>
        <w:rPr>
          <w:color w:val="0000FF"/>
          <w:sz w:val="18"/>
        </w:rPr>
      </w:pPr>
      <w:r>
        <w:rPr>
          <w:color w:val="0000FF"/>
          <w:sz w:val="18"/>
        </w:rPr>
        <w:t>c/o Guard Resources Ltd.</w:t>
      </w:r>
    </w:p>
    <w:p>
      <w:pPr>
        <w:pStyle w:val="Normal"/>
        <w:keepNext w:val="true"/>
        <w:ind w:start="720" w:end="0"/>
        <w:jc w:val="both"/>
        <w:rPr/>
      </w:pPr>
      <w:r>
        <w:rPr>
          <w:color w:val="0000FF"/>
          <w:sz w:val="18"/>
        </w:rPr>
        <w:t>2500, 605 – 5</w:t>
      </w:r>
      <w:r>
        <w:rPr>
          <w:color w:val="0000FF"/>
          <w:sz w:val="18"/>
          <w:vertAlign w:val="superscript"/>
        </w:rPr>
        <w:t>th</w:t>
      </w:r>
      <w:r>
        <w:rPr>
          <w:color w:val="0000FF"/>
          <w:sz w:val="18"/>
        </w:rPr>
        <w:t xml:space="preserve"> Avenue S.W.</w:t>
      </w:r>
    </w:p>
    <w:p>
      <w:pPr>
        <w:pStyle w:val="Normal"/>
        <w:keepNext w:val="true"/>
        <w:ind w:start="720" w:end="0"/>
        <w:jc w:val="both"/>
        <w:rPr>
          <w:color w:val="0000FF"/>
          <w:sz w:val="18"/>
          <w:u w:val="single"/>
        </w:rPr>
      </w:pPr>
      <w:r>
        <w:rPr>
          <w:color w:val="0000FF"/>
          <w:sz w:val="18"/>
        </w:rPr>
        <w:t>Calgary, Alberta  T2P 3H5</w:t>
      </w:r>
    </w:p>
    <w:p>
      <w:pPr>
        <w:pStyle w:val="Normal"/>
        <w:keepNext w:val="true"/>
        <w:ind w:start="720" w:end="0"/>
        <w:jc w:val="both"/>
        <w:rPr>
          <w:color w:val="0000FF"/>
          <w:sz w:val="18"/>
          <w:u w:val="single"/>
        </w:rPr>
      </w:pPr>
      <w:r>
        <w:rPr>
          <w:color w:val="0000FF"/>
          <w:sz w:val="18"/>
        </w:rPr>
        <w:t>Attention:  Mike Webb</w:t>
      </w:r>
    </w:p>
    <w:p>
      <w:pPr>
        <w:pStyle w:val="Normal"/>
        <w:keepNext w:val="true"/>
        <w:ind w:start="720" w:end="0"/>
        <w:jc w:val="both"/>
        <w:rPr>
          <w:color w:val="0000FF"/>
          <w:sz w:val="18"/>
        </w:rPr>
      </w:pPr>
      <w:r>
        <w:rPr>
          <w:color w:val="0000FF"/>
          <w:sz w:val="18"/>
        </w:rPr>
        <w:t>Facsimile:  (403) 261-4790</w:t>
      </w:r>
    </w:p>
    <w:p>
      <w:pPr>
        <w:pStyle w:val="Normal"/>
        <w:ind w:hanging="360" w:start="360" w:end="0"/>
        <w:jc w:val="both"/>
        <w:rPr>
          <w:color w:val="0000FF"/>
          <w:sz w:val="18"/>
        </w:rPr>
      </w:pPr>
      <w:r>
        <w:rPr>
          <w:color w:val="0000FF"/>
          <w:sz w:val="18"/>
        </w:rPr>
      </w:r>
    </w:p>
    <w:p>
      <w:pPr>
        <w:pStyle w:val="BodyTextIndent"/>
        <w:rPr/>
      </w:pPr>
      <w:r>
        <w:rPr/>
        <w:tab/>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6.</w:t>
      </w:r>
    </w:p>
    <w:p>
      <w:pPr>
        <w:pStyle w:val="Normal"/>
        <w:jc w:val="both"/>
        <w:rPr>
          <w:sz w:val="18"/>
          <w:u w:val="single"/>
        </w:rPr>
      </w:pPr>
      <w:r>
        <w:rPr>
          <w:sz w:val="18"/>
          <w:u w:val="single"/>
        </w:rPr>
      </w:r>
    </w:p>
    <w:p>
      <w:pPr>
        <w:pStyle w:val="Normal"/>
        <w:ind w:hanging="720" w:start="720" w:end="0"/>
        <w:jc w:val="both"/>
        <w:rPr/>
      </w:pPr>
      <w:r>
        <w:rPr>
          <w:b/>
          <w:sz w:val="18"/>
        </w:rPr>
        <w:t>7.</w:t>
        <w:tab/>
      </w:r>
      <w:r>
        <w:rPr>
          <w:b/>
          <w:sz w:val="18"/>
          <w:u w:val="single"/>
        </w:rPr>
        <w:t>LAW, WAIVERS, MISCELLANEOUS</w:t>
      </w:r>
      <w:r>
        <w:rPr>
          <w:sz w:val="18"/>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sz w:val="18"/>
        </w:rPr>
      </w:pPr>
      <w:r>
        <w:rPr>
          <w:sz w:val="18"/>
        </w:rPr>
      </w:r>
    </w:p>
    <w:p>
      <w:pPr>
        <w:pStyle w:val="Normal"/>
        <w:jc w:val="both"/>
        <w:rPr>
          <w:sz w:val="18"/>
        </w:rPr>
      </w:pPr>
      <w:r>
        <w:rPr>
          <w:sz w:val="18"/>
        </w:rPr>
        <w:tab/>
        <w:t>IN WITNESS WHEREOF, the parties hereto have caused this Guarantee to be executed as of the day and year first above written.</w:t>
      </w:r>
    </w:p>
    <w:p>
      <w:pPr>
        <w:pStyle w:val="Normal"/>
        <w:jc w:val="both"/>
        <w:rPr>
          <w:sz w:val="18"/>
        </w:rPr>
      </w:pPr>
      <w:r>
        <w:rPr>
          <w:sz w:val="18"/>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sz w:val="18"/>
              </w:rPr>
            </w:pPr>
            <w:r>
              <w:rPr>
                <w:b/>
                <w:sz w:val="18"/>
              </w:rPr>
              <w:t>ENRON CORP.</w:t>
            </w:r>
          </w:p>
        </w:tc>
        <w:tc>
          <w:tcPr>
            <w:tcW w:w="798" w:type="dxa"/>
            <w:tcBorders/>
          </w:tcPr>
          <w:p>
            <w:pPr>
              <w:pStyle w:val="Normal"/>
              <w:snapToGrid w:val="false"/>
              <w:jc w:val="both"/>
              <w:rPr>
                <w:b/>
                <w:sz w:val="18"/>
              </w:rPr>
            </w:pPr>
            <w:r>
              <w:rPr>
                <w:b/>
                <w:sz w:val="18"/>
              </w:rPr>
            </w:r>
          </w:p>
        </w:tc>
        <w:tc>
          <w:tcPr>
            <w:tcW w:w="4512" w:type="dxa"/>
            <w:tcBorders/>
          </w:tcPr>
          <w:p>
            <w:pPr>
              <w:pStyle w:val="Normal"/>
              <w:jc w:val="both"/>
              <w:rPr>
                <w:b/>
                <w:sz w:val="18"/>
              </w:rPr>
            </w:pPr>
            <w:r>
              <w:rPr>
                <w:b/>
                <w:sz w:val="18"/>
              </w:rPr>
              <w:t>OMERS RESOURCES LIMITED</w:t>
            </w:r>
          </w:p>
        </w:tc>
      </w:tr>
      <w:tr>
        <w:trPr/>
        <w:tc>
          <w:tcPr>
            <w:tcW w:w="4158" w:type="dxa"/>
            <w:tcBorders/>
          </w:tcPr>
          <w:p>
            <w:pPr>
              <w:pStyle w:val="Normal"/>
              <w:snapToGrid w:val="false"/>
              <w:jc w:val="both"/>
              <w:rPr>
                <w:b/>
                <w:sz w:val="18"/>
              </w:rPr>
            </w:pPr>
            <w:r>
              <w:rPr>
                <w:b/>
                <w:sz w:val="18"/>
              </w:rPr>
            </w:r>
          </w:p>
        </w:tc>
        <w:tc>
          <w:tcPr>
            <w:tcW w:w="798" w:type="dxa"/>
            <w:tcBorders/>
          </w:tcPr>
          <w:p>
            <w:pPr>
              <w:pStyle w:val="Normal"/>
              <w:snapToGrid w:val="false"/>
              <w:jc w:val="both"/>
              <w:rPr>
                <w:b/>
                <w:sz w:val="18"/>
              </w:rPr>
            </w:pPr>
            <w:r>
              <w:rPr>
                <w:b/>
                <w:sz w:val="18"/>
              </w:rPr>
            </w:r>
          </w:p>
        </w:tc>
        <w:tc>
          <w:tcPr>
            <w:tcW w:w="4512" w:type="dxa"/>
            <w:tcBorders>
              <w:bottom w:val="single" w:sz="6" w:space="0" w:color="000000"/>
            </w:tcBorders>
          </w:tcPr>
          <w:p>
            <w:pPr>
              <w:pStyle w:val="Normal"/>
              <w:snapToGrid w:val="false"/>
              <w:jc w:val="both"/>
              <w:rPr>
                <w:b/>
                <w:sz w:val="18"/>
              </w:rPr>
            </w:pPr>
            <w:r>
              <w:rPr>
                <w:b/>
                <w:sz w:val="18"/>
              </w:rPr>
            </w:r>
          </w:p>
        </w:tc>
      </w:tr>
      <w:tr>
        <w:trPr/>
        <w:tc>
          <w:tcPr>
            <w:tcW w:w="4158" w:type="dxa"/>
            <w:tcBorders>
              <w:top w:val="single" w:sz="6" w:space="0" w:color="000000"/>
              <w:bottom w:val="single" w:sz="6" w:space="0" w:color="000000"/>
            </w:tcBorders>
          </w:tcPr>
          <w:p>
            <w:pPr>
              <w:pStyle w:val="Normal"/>
              <w:jc w:val="both"/>
              <w:rPr>
                <w:b/>
                <w:sz w:val="18"/>
              </w:rPr>
            </w:pPr>
            <w:r>
              <w:rPr>
                <w:b/>
                <w:sz w:val="18"/>
              </w:rPr>
              <w:t>By:</w:t>
            </w:r>
          </w:p>
        </w:tc>
        <w:tc>
          <w:tcPr>
            <w:tcW w:w="798" w:type="dxa"/>
            <w:tcBorders/>
          </w:tcPr>
          <w:p>
            <w:pPr>
              <w:pStyle w:val="Normal"/>
              <w:snapToGrid w:val="false"/>
              <w:jc w:val="both"/>
              <w:rPr>
                <w:b/>
                <w:sz w:val="18"/>
              </w:rPr>
            </w:pPr>
            <w:r>
              <w:rPr>
                <w:b/>
                <w:sz w:val="18"/>
              </w:rPr>
            </w:r>
          </w:p>
        </w:tc>
        <w:tc>
          <w:tcPr>
            <w:tcW w:w="4512" w:type="dxa"/>
            <w:tcBorders/>
          </w:tcPr>
          <w:p>
            <w:pPr>
              <w:pStyle w:val="Normal"/>
              <w:jc w:val="both"/>
              <w:rPr>
                <w:b/>
                <w:sz w:val="18"/>
              </w:rPr>
            </w:pPr>
            <w:r>
              <w:rPr>
                <w:b/>
                <w:sz w:val="18"/>
              </w:rPr>
              <w:t>By:</w:t>
            </w:r>
          </w:p>
        </w:tc>
      </w:tr>
      <w:tr>
        <w:trPr/>
        <w:tc>
          <w:tcPr>
            <w:tcW w:w="4158" w:type="dxa"/>
            <w:tcBorders>
              <w:bottom w:val="single" w:sz="6" w:space="0" w:color="000000"/>
            </w:tcBorders>
          </w:tcPr>
          <w:p>
            <w:pPr>
              <w:pStyle w:val="Normal"/>
              <w:jc w:val="both"/>
              <w:rPr>
                <w:b/>
                <w:sz w:val="18"/>
              </w:rPr>
            </w:pPr>
            <w:r>
              <w:rPr>
                <w:b/>
                <w:sz w:val="18"/>
              </w:rPr>
              <w:t>Title:</w:t>
            </w:r>
          </w:p>
        </w:tc>
        <w:tc>
          <w:tcPr>
            <w:tcW w:w="798" w:type="dxa"/>
            <w:tcBorders/>
          </w:tcPr>
          <w:p>
            <w:pPr>
              <w:pStyle w:val="Normal"/>
              <w:snapToGrid w:val="false"/>
              <w:jc w:val="both"/>
              <w:rPr>
                <w:b/>
                <w:sz w:val="18"/>
              </w:rPr>
            </w:pPr>
            <w:r>
              <w:rPr>
                <w:b/>
                <w:sz w:val="18"/>
              </w:rPr>
            </w:r>
          </w:p>
        </w:tc>
        <w:tc>
          <w:tcPr>
            <w:tcW w:w="4512" w:type="dxa"/>
            <w:tcBorders>
              <w:top w:val="single" w:sz="6" w:space="0" w:color="000000"/>
              <w:bottom w:val="single" w:sz="6" w:space="0" w:color="000000"/>
            </w:tcBorders>
          </w:tcPr>
          <w:p>
            <w:pPr>
              <w:pStyle w:val="Normal"/>
              <w:jc w:val="both"/>
              <w:rPr>
                <w:b/>
                <w:sz w:val="18"/>
              </w:rPr>
            </w:pPr>
            <w:r>
              <w:rPr>
                <w:b/>
                <w:sz w:val="18"/>
              </w:rPr>
              <w:t>Title:</w:t>
            </w:r>
          </w:p>
        </w:tc>
      </w:tr>
    </w:tbl>
    <w:p>
      <w:pPr>
        <w:pStyle w:val="Normal"/>
        <w:jc w:val="both"/>
        <w:rPr>
          <w:sz w:val="18"/>
        </w:rPr>
      </w:pPr>
      <w:r>
        <w:rPr>
          <w:sz w:val="18"/>
        </w:rPr>
      </w:r>
    </w:p>
    <w:p>
      <w:pPr>
        <w:pStyle w:val="Normal"/>
        <w:jc w:val="both"/>
        <w:rPr>
          <w:sz w:val="18"/>
        </w:rPr>
      </w:pPr>
      <w:r>
        <w:rPr>
          <w:sz w:val="18"/>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/mnt/main-storage/datasets/enron-docs/doc/Guarantee.EnronCorp_to_Omers.doc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/mnt/main-storage/datasets/enron-docs/doc/Guarantee.EnronCorp_to_Omers.doc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Confidential Guarantee Agreement</w:t>
    </w:r>
  </w:p>
  <w:p>
    <w:pPr>
      <w:pStyle w:val="Header"/>
      <w:jc w:val="end"/>
      <w:rPr>
        <w:sz w:val="18"/>
      </w:rPr>
    </w:pPr>
    <w:r>
      <w:rPr>
        <w:sz w:val="18"/>
      </w:rPr>
      <w:t>Enron Corp.</w:t>
    </w:r>
  </w:p>
  <w:p>
    <w:pPr>
      <w:pStyle w:val="Header"/>
      <w:jc w:val="end"/>
      <w:rPr>
        <w:rStyle w:val="PageNumbe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Header"/>
      <w:jc w:val="end"/>
      <w:rPr>
        <w:rStyle w:val="PageNumber"/>
        <w:sz w:val="18"/>
      </w:rPr>
    </w:pPr>
    <w:r>
      <w:rPr/>
    </w:r>
  </w:p>
  <w:p>
    <w:pPr>
      <w:pStyle w:val="Header"/>
      <w:jc w:val="end"/>
      <w:rPr>
        <w:rStyle w:val="PageNumber"/>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lowerLetter"/>
      <w:lvlText w:val="(%1)"/>
      <w:lvlJc w:val="start"/>
      <w:pPr>
        <w:tabs>
          <w:tab w:val="num" w:pos="1440"/>
        </w:tabs>
        <w:ind w:start="144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lvlText w:val="Section %1"/>
      <w:lvlJc w:val="start"/>
      <w:pPr>
        <w:tabs>
          <w:tab w:val="num" w:pos="1080"/>
        </w:tabs>
        <w:ind w:start="0" w:hanging="0"/>
      </w:pPr>
      <w:rPr>
        <w:sz w:val="22"/>
        <w:i w:val="false"/>
        <w:b/>
        <w:rFonts w:ascii="Arial" w:hAnsi="Arial" w:cs="Arial"/>
      </w:rPr>
    </w:lvl>
  </w:abstractNum>
  <w:abstractNum w:abstractNumId="5">
    <w:lvl w:ilvl="0">
      <w:start w:val="1"/>
      <w:numFmt w:val="decimal"/>
      <w:lvlText w:val="Article %1"/>
      <w:lvlJc w:val="start"/>
      <w:pPr>
        <w:tabs>
          <w:tab w:val="num" w:pos="1080"/>
        </w:tabs>
        <w:ind w:start="0" w:hanging="0"/>
      </w:pPr>
      <w:rPr>
        <w:sz w:val="22"/>
        <w:i w:val="false"/>
        <w:b/>
        <w:rFonts w:ascii="Arial" w:hAnsi="Arial" w:cs="Arial"/>
      </w:rPr>
    </w:lvl>
  </w:abstractNum>
  <w:abstractNum w:abstractNumId="6">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decimal"/>
      <w:lvlText w:val="%1."/>
      <w:lvlJc w:val="start"/>
      <w:pPr>
        <w:tabs>
          <w:tab w:val="num" w:pos="720"/>
        </w:tabs>
        <w:ind w:start="72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2">
    <w:name w:val="heading 2"/>
    <w:basedOn w:val="Normal"/>
    <w:next w:val="Justified"/>
    <w:qFormat/>
    <w:pPr>
      <w:numPr>
        <w:ilvl w:val="1"/>
        <w:numId w:val="1"/>
      </w:numPr>
      <w:tabs>
        <w:tab w:val="left" w:pos="720" w:leader="none"/>
        <w:tab w:val="left" w:pos="1440" w:leader="none"/>
        <w:tab w:val="left" w:pos="2160" w:leader="none"/>
      </w:tabs>
      <w:spacing w:before="0" w:after="120"/>
      <w:ind w:firstLine="720" w:start="0" w:end="0"/>
      <w:jc w:val="both"/>
      <w:outlineLvl w:val="1"/>
    </w:pPr>
    <w:rPr>
      <w:rFonts w:ascii="Times New Roman" w:hAnsi="Times New Roman" w:cs="Times New Roman"/>
      <w:sz w:val="26"/>
    </w:rPr>
  </w:style>
  <w:style w:type="character" w:styleId="WW8Num1z0">
    <w:name w:val="WW8Num1z0"/>
    <w:qFormat/>
    <w:rPr>
      <w:rFonts w:ascii="Arial" w:hAnsi="Arial" w:cs="Arial"/>
      <w:sz w:val="22"/>
    </w:rPr>
  </w:style>
  <w:style w:type="character" w:styleId="WW8Num2z0">
    <w:name w:val="WW8Num2z0"/>
    <w:qFormat/>
    <w:rPr>
      <w:rFonts w:ascii="Arial" w:hAnsi="Arial" w:cs="Arial"/>
      <w:sz w:val="22"/>
    </w:rPr>
  </w:style>
  <w:style w:type="character" w:styleId="WW8Num3z0">
    <w:name w:val="WW8Num3z0"/>
    <w:qFormat/>
    <w:rPr>
      <w:rFonts w:ascii="Arial" w:hAnsi="Arial" w:cs="Arial"/>
      <w:b/>
      <w:i w:val="false"/>
      <w:sz w:val="22"/>
    </w:rPr>
  </w:style>
  <w:style w:type="character" w:styleId="WW8Num4z0">
    <w:name w:val="WW8Num4z0"/>
    <w:qFormat/>
    <w:rPr>
      <w:rFonts w:ascii="Arial" w:hAnsi="Arial" w:cs="Arial"/>
      <w:b/>
      <w:i w:val="false"/>
      <w:sz w:val="22"/>
    </w:rPr>
  </w:style>
  <w:style w:type="character" w:styleId="WW8Num5z0">
    <w:name w:val="WW8Num5z0"/>
    <w:qFormat/>
    <w:rPr>
      <w:rFonts w:ascii="Arial" w:hAnsi="Arial" w:cs="Arial"/>
      <w:sz w:val="22"/>
    </w:rPr>
  </w:style>
  <w:style w:type="character" w:styleId="WW8Num6z0">
    <w:name w:val="WW8Num6z0"/>
    <w:qFormat/>
    <w:rPr>
      <w:rFonts w:ascii="Arial" w:hAnsi="Arial" w:cs="Arial"/>
      <w:b/>
      <w:i w:val="false"/>
      <w:sz w:val="22"/>
    </w:rPr>
  </w:style>
  <w:style w:type="character" w:styleId="WW8Num7z0">
    <w:name w:val="WW8Num7z0"/>
    <w:qFormat/>
    <w:rPr>
      <w:rFonts w:ascii="Arial" w:hAnsi="Arial" w:cs="Arial"/>
      <w:b/>
      <w:i w:val="false"/>
      <w:sz w:val="22"/>
    </w:rPr>
  </w:style>
  <w:style w:type="character" w:styleId="WW8Num8z0">
    <w:name w:val="WW8Num8z0"/>
    <w:qFormat/>
    <w:rPr>
      <w:rFonts w:ascii="Arial" w:hAnsi="Arial" w:cs="Arial"/>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haron1">
    <w:name w:val="Sharon1"/>
    <w:basedOn w:val="Normal"/>
    <w:qFormat/>
    <w:pPr>
      <w:numPr>
        <w:ilvl w:val="0"/>
        <w:numId w:val="7"/>
      </w:numPr>
      <w:spacing w:before="0" w:after="240"/>
      <w:jc w:val="both"/>
    </w:pPr>
    <w:rPr/>
  </w:style>
  <w:style w:type="paragraph" w:styleId="Sharon2">
    <w:name w:val="Sharon2"/>
    <w:basedOn w:val="Normal"/>
    <w:qFormat/>
    <w:pPr>
      <w:numPr>
        <w:ilvl w:val="0"/>
        <w:numId w:val="3"/>
      </w:numPr>
      <w:spacing w:before="0" w:after="240"/>
      <w:jc w:val="both"/>
    </w:pPr>
    <w:rPr/>
  </w:style>
  <w:style w:type="paragraph" w:styleId="Sharon3">
    <w:name w:val="Sharon3"/>
    <w:basedOn w:val="Normal"/>
    <w:qFormat/>
    <w:pPr>
      <w:numPr>
        <w:ilvl w:val="0"/>
        <w:numId w:val="2"/>
      </w:numPr>
      <w:spacing w:before="0" w:after="240"/>
      <w:jc w:val="both"/>
    </w:pPr>
    <w:rPr/>
  </w:style>
  <w:style w:type="paragraph" w:styleId="Sharon4">
    <w:name w:val="Sharon4"/>
    <w:basedOn w:val="Normal"/>
    <w:qFormat/>
    <w:pPr>
      <w:numPr>
        <w:ilvl w:val="0"/>
        <w:numId w:val="6"/>
      </w:numPr>
      <w:spacing w:before="0" w:after="240"/>
      <w:jc w:val="both"/>
    </w:pPr>
    <w:rPr/>
  </w:style>
  <w:style w:type="paragraph" w:styleId="Article1">
    <w:name w:val="Article1"/>
    <w:basedOn w:val="Normal"/>
    <w:qFormat/>
    <w:pPr>
      <w:numPr>
        <w:ilvl w:val="0"/>
        <w:numId w:val="5"/>
      </w:numPr>
      <w:jc w:val="center"/>
    </w:pPr>
    <w:rPr>
      <w:b/>
    </w:rPr>
  </w:style>
  <w:style w:type="paragraph" w:styleId="Article2">
    <w:name w:val="Article2"/>
    <w:basedOn w:val="Normal"/>
    <w:qFormat/>
    <w:pPr>
      <w:numPr>
        <w:ilvl w:val="0"/>
        <w:numId w:val="4"/>
      </w:numPr>
    </w:pPr>
    <w:rPr/>
  </w:style>
  <w:style w:type="paragraph" w:styleId="Justified">
    <w:name w:val="Justified"/>
    <w:basedOn w:val="Normal"/>
    <w:next w:val="Heading2"/>
    <w:qFormat/>
    <w:pPr>
      <w:tabs>
        <w:tab w:val="left" w:pos="720" w:leader="none"/>
        <w:tab w:val="left" w:pos="1440" w:leader="none"/>
        <w:tab w:val="left" w:pos="2160" w:leader="none"/>
      </w:tabs>
      <w:spacing w:before="0" w:after="120"/>
      <w:jc w:val="both"/>
    </w:pPr>
    <w:rPr>
      <w:rFonts w:ascii="Times New Roman" w:hAnsi="Times New Roman" w:cs="Times New Roman"/>
      <w:sz w:val="26"/>
    </w:rPr>
  </w:style>
  <w:style w:type="paragraph" w:styleId="BodyTextIndent">
    <w:name w:val="Body Text Indent"/>
    <w:basedOn w:val="Normal"/>
    <w:pPr>
      <w:tabs>
        <w:tab w:val="left" w:pos="720" w:leader="none"/>
        <w:tab w:val="left" w:pos="1440" w:leader="none"/>
        <w:tab w:val="left" w:pos="2160" w:leader="none"/>
      </w:tabs>
      <w:ind w:hanging="720" w:start="720" w:end="0"/>
      <w:jc w:val="both"/>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2000-12-12T17:56:00Z</dcterms:created>
  <dc:creator>scrawfo3</dc:creator>
  <dc:description/>
  <dc:language>en-CA</dc:language>
  <cp:lastModifiedBy>scrawfo3</cp:lastModifiedBy>
  <cp:lastPrinted>2000-12-12T13:35:00Z</cp:lastPrinted>
  <dcterms:modified xsi:type="dcterms:W3CDTF">2000-12-12T18:05:00Z</dcterms:modified>
  <cp:revision>3</cp:revision>
  <dc:subject/>
  <dc:title>CONFIDENTIAL GUARANTEE AGREEMENT</dc:title>
</cp:coreProperties>
</file>