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GUARANTY AGREEMENT</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______________, 2000</w:t>
      </w:r>
    </w:p>
    <w:p>
      <w:pPr>
        <w:pStyle w:val="Normal"/>
        <w:rPr>
          <w:sz w:val="22"/>
        </w:rPr>
      </w:pPr>
      <w:r>
        <w:rPr>
          <w:sz w:val="22"/>
        </w:rPr>
      </w:r>
    </w:p>
    <w:p>
      <w:pPr>
        <w:pStyle w:val="Normal"/>
        <w:rPr>
          <w:sz w:val="22"/>
        </w:rPr>
      </w:pPr>
      <w:r>
        <w:rPr>
          <w:sz w:val="22"/>
        </w:rPr>
      </w:r>
    </w:p>
    <w:p>
      <w:pPr>
        <w:pStyle w:val="Normal"/>
        <w:rPr>
          <w:sz w:val="22"/>
          <w:u w:val="single"/>
        </w:rPr>
      </w:pPr>
      <w:r>
        <w:rPr>
          <w:sz w:val="22"/>
        </w:rPr>
        <w:t>ABN AMRO Bank N.V.</w:t>
      </w:r>
    </w:p>
    <w:p>
      <w:pPr>
        <w:pStyle w:val="Normal"/>
        <w:rPr>
          <w:sz w:val="22"/>
          <w:u w:val="single"/>
        </w:rPr>
      </w:pPr>
      <w:r>
        <w:rPr>
          <w:sz w:val="22"/>
          <w:u w:val="single"/>
        </w:rPr>
        <w:tab/>
        <w:tab/>
        <w:tab/>
        <w:tab/>
      </w:r>
    </w:p>
    <w:p>
      <w:pPr>
        <w:pStyle w:val="Normal"/>
        <w:rPr>
          <w:sz w:val="22"/>
        </w:rPr>
      </w:pPr>
      <w:r>
        <w:rPr>
          <w:sz w:val="22"/>
        </w:rPr>
        <w:t>New York, New York</w:t>
      </w:r>
    </w:p>
    <w:p>
      <w:pPr>
        <w:pStyle w:val="Normal"/>
        <w:rPr>
          <w:sz w:val="22"/>
        </w:rPr>
      </w:pPr>
      <w:r>
        <w:rPr>
          <w:sz w:val="22"/>
        </w:rPr>
      </w:r>
    </w:p>
    <w:p>
      <w:pPr>
        <w:pStyle w:val="BodyText"/>
        <w:rPr>
          <w:sz w:val="22"/>
        </w:rPr>
      </w:pPr>
      <w:r>
        <w:rPr>
          <w:sz w:val="22"/>
        </w:rPr>
        <w:tab/>
        <w:t>The undersigned, Enron Corp. ("Enron"), in consideration of ABN AMRO Bank N.V. ("ABN Bank") agreeing to advance funds for margin calls related to futures and options contracts (the "Advances") to Enron North America Corp. and any successor thereto (hereinafter "Borrower"), a wholly-owned, direct or indirect subsidiary of Enron, hereby guarantees to ABN Bank the due and punctual payment by Borrower according to their terms of all Advances together with interest thereon and any related fees and expenses due from the Borrower up to an aggregate amount covered by this guaranty not to exceed the lesser of (i) _____ Million U.S. Dollars ($__,000,000) and (ii) the difference between (a) the aggregate principal amount of Advances then outstanding together with the interest thereon and any related fees and expenses due from the Borrower and (b) the amount received by ABN Bank from ABN AMRO Incorporated ("ABN Inc.") and which ABN Bank is then free to apply to Borrower's obligations to it after (x) the liquidation of the Borrower's then outstanding open positions in commodities in the accounts pledged to ABN Bank pursuant to that certain Credit Agreement dated ___________ among the Borrower, ABN Bank and ABN Inc. as the same may be amended, modified or waived from time to time (the "Security Agreement") and (y) ABN Inc. has been paid all amounts owing to ABN Inc. in connection with the transactions in the accounts.  This guaranty, being a primary obligation of Enron, ABN Bank shall not be required to exhaust its remedies against Borrower.  In the event that at the time ABN Bank makes any demand for payment under the guaranty there is any event or circumstance which, in ABN Bank's reasonable determination, impedes ABN Bank from liquidating any of the accounts or from receiving any of the proceeds of the same or applying any such proceeds to amounts owed to it by the Borrower in respect of the Advances, then Enron shall be liable under this guaranty for all Advances together with interest thereon and any related fees and expenses due and unpaid for all Advances together with interest thereon any related fees and expenses due and unpaid from the Borrower up to a maximum aggregate amount of ______ Million U.S. Dollars.</w:t>
      </w:r>
    </w:p>
    <w:p>
      <w:pPr>
        <w:pStyle w:val="Normal"/>
        <w:jc w:val="both"/>
        <w:rPr>
          <w:sz w:val="22"/>
        </w:rPr>
      </w:pPr>
      <w:r>
        <w:rPr>
          <w:sz w:val="22"/>
        </w:rPr>
      </w:r>
    </w:p>
    <w:p>
      <w:pPr>
        <w:sectPr>
          <w:headerReference w:type="default" r:id="rId2"/>
          <w:footerReference w:type="default" r:id="rId3"/>
          <w:type w:val="nextPage"/>
          <w:pgSz w:w="12240" w:h="15840"/>
          <w:pgMar w:left="1800" w:right="1800" w:gutter="0" w:header="720" w:top="3456" w:footer="720" w:bottom="1440"/>
          <w:pgNumType w:fmt="decimal"/>
          <w:formProt w:val="false"/>
          <w:textDirection w:val="lrTb"/>
          <w:docGrid w:type="default" w:linePitch="360" w:charSpace="0"/>
        </w:sectPr>
        <w:pStyle w:val="Normal"/>
        <w:jc w:val="both"/>
        <w:rPr>
          <w:sz w:val="22"/>
        </w:rPr>
      </w:pPr>
      <w:r>
        <w:rPr>
          <w:sz w:val="22"/>
        </w:rPr>
        <w:tab/>
        <w:t xml:space="preserve">Enron hereby authorizes ABN Bank, without notice or demand and without affecting the liability of Enron hereunder, from time to time to (a) renew, compromise, extend, accelerate or otherwise change the time of payment of or otherwise change the terms of, the indebtedness hereby guaranteed, or any part thereof, including any increase or decrease of the rate of interest thereon; (b) with respect to any security which may be given to ABN Bank, hold such security for </w:t>
      </w:r>
    </w:p>
    <w:p>
      <w:pPr>
        <w:pStyle w:val="Normal"/>
        <w:jc w:val="both"/>
        <w:rPr>
          <w:sz w:val="22"/>
        </w:rPr>
      </w:pPr>
      <w:r>
        <w:rPr>
          <w:sz w:val="22"/>
        </w:rPr>
        <w:t>the payment of this guaranty or the indebtedness hereby guaranteed, and exchange, enforce, waive and release any such security, provided that any realization by ABN Bank on any of such security shall be subject to the first paragraph of this guarantee; (c) apply such security as may be given to ABN Bank and direct the order or manner of sale thereof as ABN Bank in it discretion may determine; and (d) release or substitute any one or more endorsers or other guarantors of the indebtedness.  This is a continuing absolute and unconditional guaranty irrespective of (a) any lack of validity or enforceability of an indebtedness thereby guaranteed, (b) any present or future law or order of any government (whether in right or in fact) or of any agency thereof purporting to reduce, amend or otherwise affect any such indebtedness or the terms of payment thereof and (c) any other circumstance which might otherwise constitute a legal or equitable discharge or defense of a guarantor.</w:t>
      </w:r>
    </w:p>
    <w:p>
      <w:pPr>
        <w:pStyle w:val="Normal"/>
        <w:jc w:val="both"/>
        <w:rPr>
          <w:sz w:val="22"/>
        </w:rPr>
      </w:pPr>
      <w:r>
        <w:rPr>
          <w:sz w:val="22"/>
        </w:rPr>
      </w:r>
    </w:p>
    <w:p>
      <w:pPr>
        <w:pStyle w:val="Normal"/>
        <w:jc w:val="both"/>
        <w:rPr>
          <w:sz w:val="22"/>
        </w:rPr>
      </w:pPr>
      <w:r>
        <w:rPr>
          <w:sz w:val="22"/>
        </w:rPr>
        <w:tab/>
        <w:t>Enron further agrees that all payments made to or received by ABN Bank on any indebtedness guaranteed hereby will, when made, be final and agrees that if any such payment is received from, or repaid by, ABN Bank in whole or in part in any bankruptcy, insolvency or similar proceeding instituted by or against Borrower or under any circumstances, this guaranty shall continue to be fully applicable to such indebtedness or be reinstated to the same extent as though the payment so received or repaid had never been originally made or received on such indebtedness.  Notwithstanding anything to the contrary contained in this guarantee, Enron agrees to pay interest on any amount demanded under this guarantee until paid in full at the fluctuating rate per annum equal to the prime rate of the Chase Manhattan Bank N.A. publicly announced from time to time in New York, New York together with reasonable attorneys' fees and all other reasonable costs and expenses incurred by ABN Bank in connection with the enforcement of its rights hereunder.  Enron hereby waives all presentments, demands for performance, notice of non-performance, protest, notice of protest, notices of dishonor, notice of acceleration of, or intent to accelerate the maturity of, any indebtedness and notice of acceptance of this guaranty.</w:t>
      </w:r>
    </w:p>
    <w:p>
      <w:pPr>
        <w:pStyle w:val="Normal"/>
        <w:jc w:val="both"/>
        <w:rPr>
          <w:sz w:val="22"/>
        </w:rPr>
      </w:pPr>
      <w:r>
        <w:rPr>
          <w:sz w:val="22"/>
        </w:rPr>
      </w:r>
    </w:p>
    <w:p>
      <w:pPr>
        <w:pStyle w:val="BodyText2"/>
        <w:rPr/>
      </w:pPr>
      <w:r>
        <w:rPr/>
        <w:tab/>
        <w:t>This guaranty shall be terminated ten days from receipt by ABN Bank at the above address of written notice of termination from Enron.  No termination shall affect, release or discharge any obligations already incurred by Enron under this guaranty prior to the time of termination.</w:t>
      </w:r>
    </w:p>
    <w:p>
      <w:pPr>
        <w:pStyle w:val="Normal"/>
        <w:jc w:val="both"/>
        <w:rPr>
          <w:sz w:val="22"/>
        </w:rPr>
      </w:pPr>
      <w:r>
        <w:rPr>
          <w:sz w:val="22"/>
        </w:rPr>
      </w:r>
    </w:p>
    <w:p>
      <w:pPr>
        <w:pStyle w:val="Normal"/>
        <w:jc w:val="both"/>
        <w:rPr/>
      </w:pPr>
      <w:r>
        <w:rPr>
          <w:sz w:val="22"/>
        </w:rPr>
        <w:tab/>
      </w:r>
      <w:r>
        <w:rPr>
          <w:b/>
          <w:sz w:val="22"/>
        </w:rPr>
        <w:t>THIS GUARANTY SHALL BE IN ALL RESPECTS SUBJECT TO THE LAWS OF THE STATE OF NEW YORK WITHOUT REGARDS TO PRINCIPLES OF CONFLICTS OF LAWS.</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tabs>
          <w:tab w:val="clear" w:pos="720"/>
          <w:tab w:val="left" w:pos="5040" w:leader="none"/>
        </w:tabs>
        <w:jc w:val="both"/>
        <w:rPr/>
      </w:pPr>
      <w:r>
        <w:rPr>
          <w:b/>
          <w:sz w:val="22"/>
        </w:rPr>
        <w:tab/>
      </w:r>
      <w:r>
        <w:rPr>
          <w:sz w:val="22"/>
        </w:rPr>
        <w:t>ENRON CORP.</w:t>
      </w:r>
    </w:p>
    <w:p>
      <w:pPr>
        <w:pStyle w:val="Normal"/>
        <w:tabs>
          <w:tab w:val="clear" w:pos="720"/>
          <w:tab w:val="left" w:pos="5040" w:leader="none"/>
        </w:tabs>
        <w:jc w:val="both"/>
        <w:rPr>
          <w:sz w:val="22"/>
        </w:rPr>
      </w:pPr>
      <w:r>
        <w:rPr>
          <w:sz w:val="22"/>
        </w:rPr>
      </w:r>
    </w:p>
    <w:p>
      <w:pPr>
        <w:pStyle w:val="Normal"/>
        <w:tabs>
          <w:tab w:val="clear" w:pos="720"/>
          <w:tab w:val="left" w:pos="5040" w:leader="none"/>
        </w:tabs>
        <w:jc w:val="both"/>
        <w:rPr>
          <w:sz w:val="22"/>
        </w:rPr>
      </w:pPr>
      <w:r>
        <w:rPr>
          <w:sz w:val="22"/>
        </w:rPr>
      </w:r>
    </w:p>
    <w:p>
      <w:pPr>
        <w:pStyle w:val="Normal"/>
        <w:tabs>
          <w:tab w:val="clear" w:pos="720"/>
          <w:tab w:val="left" w:pos="5040" w:leader="none"/>
        </w:tabs>
        <w:jc w:val="both"/>
        <w:rPr>
          <w:sz w:val="22"/>
        </w:rPr>
      </w:pPr>
      <w:r>
        <w:rPr>
          <w:sz w:val="22"/>
        </w:rPr>
      </w:r>
    </w:p>
    <w:p>
      <w:pPr>
        <w:pStyle w:val="Normal"/>
        <w:tabs>
          <w:tab w:val="clear" w:pos="720"/>
          <w:tab w:val="left" w:pos="5040" w:leader="none"/>
        </w:tabs>
        <w:jc w:val="both"/>
        <w:rPr/>
      </w:pPr>
      <w:r>
        <w:rPr>
          <w:sz w:val="22"/>
        </w:rPr>
        <w:tab/>
        <w:t>By:</w:t>
      </w:r>
      <w:r>
        <w:rPr>
          <w:sz w:val="22"/>
          <w:u w:val="single"/>
        </w:rPr>
        <w:tab/>
        <w:tab/>
        <w:tab/>
        <w:tab/>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/mnt/main-storage/datasets/enron-docs/doc/GtyABN_AMRO.doc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/mnt/main-storage/datasets/enron-docs/doc/GtyABN_AMRO.doc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pPr>
    <w:r>
      <w:rPr>
        <w:b/>
        <w:sz w:val="24"/>
      </w:rPr>
      <w:t>DRAFT</w:t>
    </w:r>
    <w:r>
      <w:rPr>
        <w:sz w:val="24"/>
      </w:rPr>
      <w:t xml:space="preserve"> of 2/10/00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2000-02-10T13:08:00Z</dcterms:created>
  <dc:creator>kaye ellis</dc:creator>
  <dc:description/>
  <dc:language>en-CA</dc:language>
  <cp:lastModifiedBy>kaye ellis</cp:lastModifiedBy>
  <cp:lastPrinted>2000-02-10T15:07:00Z</cp:lastPrinted>
  <dcterms:modified xsi:type="dcterms:W3CDTF">2000-02-10T18:37:00Z</dcterms:modified>
  <cp:revision>6</cp:revision>
  <dc:subject/>
  <dc:title>February 10, 2000</dc:title>
</cp:coreProperties>
</file>