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r>
        <w:rPr>
          <w:sz w:val="20"/>
          <w:szCs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03300" cy="987425"/>
                    </a:xfrm>
                    <a:prstGeom prst="rect">
                      <a:avLst/>
                    </a:prstGeom>
                    <a:noFill/>
                  </pic:spPr>
                </pic:pic>
              </a:graphicData>
            </a:graphic>
          </wp:inline>
        </w:drawing>
      </w:r>
    </w:p>
    <w:p>
      <w:pPr>
        <w:pStyle w:val="Body"/>
        <w:rPr/>
      </w:pPr>
      <w:r>
        <w:rPr/>
      </w:r>
      <w:bookmarkStart w:id="0" w:name="StartOfMemo"/>
      <w:bookmarkStart w:id="1" w:name="StartOfMemo"/>
      <w:bookmarkEnd w:id="1"/>
    </w:p>
    <w:p>
      <w:pPr>
        <w:pStyle w:val="Body"/>
        <w:rPr/>
      </w:pPr>
      <w:r>
        <w:rPr/>
        <w:t>To:</w:t>
        <w:tab/>
        <w:t>Augustin Perez</w:t>
      </w:r>
    </w:p>
    <w:p>
      <w:pPr>
        <w:pStyle w:val="Body"/>
        <w:ind w:firstLine="648" w:end="0"/>
        <w:rPr/>
      </w:pPr>
      <w:r>
        <w:rPr/>
        <w:t>Paul Radous</w:t>
        <w:tab/>
        <w:tab/>
        <w:tab/>
        <w:tab/>
        <w:tab/>
        <w:tab/>
        <w:t>Date:  June 23, 2000</w:t>
        <w:tab/>
      </w:r>
    </w:p>
    <w:p>
      <w:pPr>
        <w:pStyle w:val="Body"/>
        <w:rPr/>
      </w:pPr>
      <w:r>
        <w:rPr/>
      </w:r>
    </w:p>
    <w:p>
      <w:pPr>
        <w:pStyle w:val="Body"/>
        <w:rPr/>
      </w:pPr>
      <w:r>
        <w:rPr/>
        <w:t>From:</w:t>
        <w:tab/>
        <w:t>Sara Shackleton</w:t>
        <w:tab/>
        <w:tab/>
        <w:tab/>
        <w:tab/>
        <w:tab/>
        <w:t>Dept.</w:t>
        <w:tab/>
        <w:t>ECT Legal</w:t>
      </w:r>
    </w:p>
    <w:p>
      <w:pPr>
        <w:pStyle w:val="Body"/>
        <w:rPr/>
      </w:pPr>
      <w:r>
        <w:rPr/>
      </w:r>
    </w:p>
    <w:p>
      <w:pPr>
        <w:pStyle w:val="Body"/>
        <w:rPr/>
      </w:pPr>
      <w:r>
        <w:rPr/>
        <w:t>Re:</w:t>
        <w:tab/>
        <w:t>Grupo Vitro</w:t>
      </w:r>
    </w:p>
    <w:p>
      <w:pPr>
        <w:pStyle w:val="Body"/>
        <w:pBdr>
          <w:bottom w:val="single" w:sz="6" w:space="1" w:color="000000"/>
        </w:pBdr>
        <w:rPr/>
      </w:pPr>
      <w:r>
        <w:rPr/>
      </w:r>
    </w:p>
    <w:p>
      <w:pPr>
        <w:pStyle w:val="CopyList"/>
        <w:tabs>
          <w:tab w:val="clear" w:pos="504"/>
        </w:tabs>
        <w:spacing w:before="240" w:after="0"/>
        <w:ind w:hanging="14" w:start="86" w:end="0"/>
        <w:jc w:val="both"/>
        <w:rPr/>
      </w:pPr>
      <w:r>
        <w:rPr/>
        <w:t>In connection with execution of the Partial Assignments and Confirmations for the various Grupo Vitro entities, please note the following:</w:t>
      </w:r>
    </w:p>
    <w:p>
      <w:pPr>
        <w:pStyle w:val="CopyList"/>
        <w:numPr>
          <w:ilvl w:val="0"/>
          <w:numId w:val="2"/>
        </w:numPr>
        <w:tabs>
          <w:tab w:val="clear" w:pos="504"/>
          <w:tab w:val="left" w:pos="0" w:leader="none"/>
          <w:tab w:val="left" w:pos="72" w:leader="none"/>
          <w:tab w:val="left" w:pos="144" w:leader="none"/>
        </w:tabs>
        <w:spacing w:before="240" w:after="0"/>
        <w:ind w:hanging="360" w:start="792" w:end="0"/>
        <w:jc w:val="both"/>
        <w:rPr/>
      </w:pPr>
      <w:r>
        <w:rPr/>
        <w:t>The original Guaranty provided by Vitro Envases Norte America, S.A. de C.V. (“Guarantor”) on behalf of Vidriera Mexico, S.A. de C.V. must be FULLY COMPLETED.  This includes completion of the following:</w:t>
      </w:r>
    </w:p>
    <w:p>
      <w:pPr>
        <w:pStyle w:val="CopyList"/>
        <w:tabs>
          <w:tab w:val="left" w:pos="432" w:leader="none"/>
          <w:tab w:val="left" w:pos="504" w:leader="none"/>
        </w:tabs>
        <w:spacing w:before="0" w:after="0"/>
        <w:ind w:hanging="0" w:start="72" w:end="0"/>
        <w:jc w:val="both"/>
        <w:rPr/>
      </w:pPr>
      <w:r>
        <w:rPr/>
      </w:r>
    </w:p>
    <w:p>
      <w:pPr>
        <w:pStyle w:val="CopyList"/>
        <w:numPr>
          <w:ilvl w:val="0"/>
          <w:numId w:val="3"/>
        </w:numPr>
        <w:tabs>
          <w:tab w:val="clear" w:pos="504"/>
          <w:tab w:val="left" w:pos="0" w:leader="none"/>
          <w:tab w:val="left" w:pos="144" w:leader="none"/>
          <w:tab w:val="left" w:pos="792" w:leader="none"/>
        </w:tabs>
        <w:spacing w:before="0" w:after="0"/>
        <w:ind w:hanging="720" w:start="1512" w:end="0"/>
        <w:jc w:val="both"/>
        <w:rPr/>
      </w:pPr>
      <w:r>
        <w:rPr/>
        <w:t>Fill in relationship of Vidriera Mexico, S.A. to Guarantor (p.1)</w:t>
      </w:r>
    </w:p>
    <w:p>
      <w:pPr>
        <w:pStyle w:val="CopyList"/>
        <w:numPr>
          <w:ilvl w:val="0"/>
          <w:numId w:val="3"/>
        </w:numPr>
        <w:tabs>
          <w:tab w:val="clear" w:pos="504"/>
          <w:tab w:val="left" w:pos="0" w:leader="none"/>
          <w:tab w:val="left" w:pos="144" w:leader="none"/>
          <w:tab w:val="left" w:pos="792" w:leader="none"/>
        </w:tabs>
        <w:spacing w:before="0" w:after="0"/>
        <w:ind w:hanging="720" w:start="1512" w:end="0"/>
        <w:jc w:val="both"/>
        <w:rPr/>
      </w:pPr>
      <w:r>
        <w:rPr/>
        <w:t>Fill in Guarantor’s address, phone and fax (p. 2)</w:t>
      </w:r>
    </w:p>
    <w:p>
      <w:pPr>
        <w:pStyle w:val="CopyList"/>
        <w:numPr>
          <w:ilvl w:val="0"/>
          <w:numId w:val="3"/>
        </w:numPr>
        <w:tabs>
          <w:tab w:val="clear" w:pos="504"/>
          <w:tab w:val="left" w:pos="0" w:leader="none"/>
          <w:tab w:val="left" w:pos="144" w:leader="none"/>
          <w:tab w:val="left" w:pos="792" w:leader="none"/>
        </w:tabs>
        <w:spacing w:before="0" w:after="0"/>
        <w:ind w:hanging="720" w:start="1512" w:end="0"/>
        <w:jc w:val="both"/>
        <w:rPr/>
      </w:pPr>
      <w:r>
        <w:rPr/>
        <w:t>Fill in the date, name and title (p.3)</w:t>
      </w:r>
    </w:p>
    <w:p>
      <w:pPr>
        <w:pStyle w:val="CopyList"/>
        <w:numPr>
          <w:ilvl w:val="0"/>
          <w:numId w:val="3"/>
        </w:numPr>
        <w:tabs>
          <w:tab w:val="clear" w:pos="504"/>
          <w:tab w:val="left" w:pos="0" w:leader="none"/>
          <w:tab w:val="left" w:pos="72" w:leader="none"/>
          <w:tab w:val="left" w:pos="144" w:leader="none"/>
        </w:tabs>
        <w:spacing w:before="240" w:after="0"/>
        <w:ind w:hanging="720" w:start="792" w:end="0"/>
        <w:jc w:val="both"/>
        <w:rPr/>
      </w:pPr>
      <w:r>
        <w:rPr/>
        <w:t>A new executed Confirmation and Partial Assignment has been prepared for Flotado because the notional quantity was changed.  It must be FULLY EXECUTED.</w:t>
      </w:r>
    </w:p>
    <w:p>
      <w:pPr>
        <w:pStyle w:val="CopyList"/>
        <w:numPr>
          <w:ilvl w:val="0"/>
          <w:numId w:val="3"/>
        </w:numPr>
        <w:tabs>
          <w:tab w:val="clear" w:pos="504"/>
          <w:tab w:val="left" w:pos="0" w:leader="none"/>
          <w:tab w:val="left" w:pos="72" w:leader="none"/>
          <w:tab w:val="left" w:pos="144" w:leader="none"/>
        </w:tabs>
        <w:spacing w:before="240" w:after="0"/>
        <w:ind w:hanging="720" w:start="792" w:end="0"/>
        <w:jc w:val="both"/>
        <w:rPr/>
      </w:pPr>
      <w:r>
        <w:rPr/>
        <w:t>A new executed Confirmation and Partial Assignment has been prepared for Fibras because we never received anything back from the counterparty.  It must be FULLY EXECUTED.</w:t>
      </w:r>
    </w:p>
    <w:p>
      <w:pPr>
        <w:pStyle w:val="CopyList"/>
        <w:numPr>
          <w:ilvl w:val="0"/>
          <w:numId w:val="3"/>
        </w:numPr>
        <w:tabs>
          <w:tab w:val="clear" w:pos="504"/>
          <w:tab w:val="left" w:pos="0" w:leader="none"/>
          <w:tab w:val="left" w:pos="72" w:leader="none"/>
          <w:tab w:val="left" w:pos="144" w:leader="none"/>
        </w:tabs>
        <w:spacing w:before="240" w:after="0"/>
        <w:ind w:hanging="720" w:start="792" w:end="0"/>
        <w:jc w:val="both"/>
        <w:rPr/>
      </w:pPr>
      <w:r>
        <w:rPr/>
        <w:t>With respect to the eight (8) Confirmations and Partial Assignments which were returned,  ALL OF THEM NEED TO BE FULLY EXECUTED.  This includes completion of the following:</w:t>
      </w:r>
    </w:p>
    <w:p>
      <w:pPr>
        <w:pStyle w:val="CopyList"/>
        <w:numPr>
          <w:ilvl w:val="0"/>
          <w:numId w:val="3"/>
        </w:numPr>
        <w:tabs>
          <w:tab w:val="clear" w:pos="504"/>
          <w:tab w:val="left" w:pos="0" w:leader="none"/>
          <w:tab w:val="left" w:pos="144" w:leader="none"/>
          <w:tab w:val="left" w:pos="792" w:leader="none"/>
        </w:tabs>
        <w:spacing w:before="240" w:after="0"/>
        <w:ind w:hanging="720" w:start="1512" w:end="0"/>
        <w:jc w:val="both"/>
        <w:rPr/>
      </w:pPr>
      <w:r>
        <w:rPr/>
        <w:t>Each Partial Assignment must be dated.</w:t>
      </w:r>
    </w:p>
    <w:p>
      <w:pPr>
        <w:pStyle w:val="CopyList"/>
        <w:numPr>
          <w:ilvl w:val="0"/>
          <w:numId w:val="3"/>
        </w:numPr>
        <w:tabs>
          <w:tab w:val="clear" w:pos="504"/>
          <w:tab w:val="left" w:pos="0" w:leader="none"/>
          <w:tab w:val="left" w:pos="144" w:leader="none"/>
          <w:tab w:val="left" w:pos="792" w:leader="none"/>
        </w:tabs>
        <w:spacing w:before="0" w:after="0"/>
        <w:ind w:hanging="360" w:start="1512" w:end="0"/>
        <w:jc w:val="both"/>
        <w:rPr/>
      </w:pPr>
      <w:r>
        <w:rPr/>
        <w:t>The name and title of the party signatory to EACH Partial Assignment and Confirmation must be completed.</w:t>
      </w:r>
    </w:p>
    <w:p>
      <w:pPr>
        <w:pStyle w:val="CopyList"/>
        <w:tabs>
          <w:tab w:val="clear" w:pos="504"/>
          <w:tab w:val="left" w:pos="450" w:leader="none"/>
        </w:tabs>
        <w:spacing w:before="240" w:after="0"/>
        <w:ind w:hanging="378" w:start="450" w:end="0"/>
        <w:jc w:val="both"/>
        <w:rPr/>
      </w:pPr>
      <w:r>
        <w:rPr/>
        <w:t xml:space="preserve"> </w:t>
      </w:r>
      <w:r>
        <w:rPr/>
        <w:t>(5)</w:t>
        <w:tab/>
        <w:t>ENA should pay the premium only when ALL executed documents referred to in the Confirmation between ENA and Vitro Envases Norte America, S.A. have been returned to ENA.</w:t>
      </w:r>
    </w:p>
    <w:p>
      <w:pPr>
        <w:pStyle w:val="CopyList"/>
        <w:tabs>
          <w:tab w:val="clear" w:pos="504"/>
        </w:tabs>
        <w:spacing w:before="240" w:after="0"/>
        <w:ind w:hanging="14" w:start="86" w:end="0"/>
        <w:rPr/>
      </w:pPr>
      <w:r>
        <w:rPr/>
        <w:t xml:space="preserve">  </w:t>
      </w:r>
      <w:r>
        <w:rPr/>
        <w:t>Upon FULL EXECUTION, please return the originals to Houston.  You should return with 10 Partial Assignments, 10 Confirmations and one (1) Guaranty.</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ab/>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2600325</wp:posOffset>
              </wp:positionH>
              <wp:positionV relativeFrom="paragraph">
                <wp:posOffset>-189865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4.95pt;mso-position-vertical-relative:text;margin-left:204.75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2000-06-23T15:02:00Z</dcterms:created>
  <dc:creator>ECT</dc:creator>
  <dc:description/>
  <dc:language>en-CA</dc:language>
  <cp:lastModifiedBy>sshackl</cp:lastModifiedBy>
  <cp:lastPrinted>2000-06-23T14:18:00Z</cp:lastPrinted>
  <dcterms:modified xsi:type="dcterms:W3CDTF">2000-06-23T18:38:00Z</dcterms:modified>
  <cp:revision>9</cp:revision>
  <dc:subject>The Subject of the Memo</dc:subject>
  <dc:title>Eron Capital &amp; Trade Resources Memo</dc:title>
</cp:coreProperties>
</file>