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rPr/>
      </w:pPr>
      <w:r>
        <w:rPr/>
        <w:t>GridSouth Order – March 14, 2001</w:t>
      </w:r>
    </w:p>
    <w:p>
      <w:pPr>
        <w:pStyle w:val="BodyTextIndent"/>
        <w:rPr/>
      </w:pPr>
      <w:r>
        <w:rPr/>
      </w:r>
    </w:p>
    <w:p>
      <w:pPr>
        <w:pStyle w:val="BodyTextIndent"/>
        <w:rPr/>
      </w:pPr>
      <w:r>
        <w:rPr/>
      </w:r>
    </w:p>
    <w:p>
      <w:pPr>
        <w:pStyle w:val="BodyTextIndent"/>
        <w:rPr/>
      </w:pPr>
      <w:r>
        <w:rPr/>
        <w:t>On March 14, 2000, the Federal Energy Regulatory Commission (FERC) provisionally granted GridSouth Transco, LLC (GridSouth) Regional Transmission Organization (RTO) status (Docket No. RT01-74-000).  With certain modifications the Commission concluded that GridSouth met the four characteristics of an RTO -- independence, scope and regional configuration, operational authority, and short-term reliability.  Similarly, FERC concluded that GridSouth could perform the necessary eight functions required of an RTO -- tariff administration and design, congestion management, parallel path flow, ancillary services, OASIS and total transfer capability (TTC) and available transfer capability (ATC), market monitoring, planning and expansion and interregional coordination.</w:t>
      </w:r>
    </w:p>
    <w:p>
      <w:pPr>
        <w:pStyle w:val="BodyTextIndent"/>
        <w:rPr/>
      </w:pPr>
      <w:r>
        <w:rPr/>
      </w:r>
    </w:p>
    <w:p>
      <w:pPr>
        <w:pStyle w:val="BodyTextIndent"/>
        <w:rPr>
          <w:u w:val="single"/>
        </w:rPr>
      </w:pPr>
      <w:r>
        <w:rPr>
          <w:u w:val="single"/>
        </w:rPr>
        <w:t xml:space="preserve">RTO Characteristic No.1 Independence </w:t>
      </w:r>
    </w:p>
    <w:p>
      <w:pPr>
        <w:pStyle w:val="BodyTextIndent"/>
        <w:rPr>
          <w:u w:val="single"/>
        </w:rPr>
      </w:pPr>
      <w:r>
        <w:rPr>
          <w:u w:val="single"/>
        </w:rPr>
      </w:r>
    </w:p>
    <w:p>
      <w:pPr>
        <w:pStyle w:val="BodyTextIndent"/>
        <w:rPr/>
      </w:pPr>
      <w:r>
        <w:rPr/>
        <w:t>GridSouth proposed a for-profit transco model.  Functional control of the transmission owners’ assets is transferred to GridSouth, while transmission owners retain only a passive ownership interest.</w:t>
      </w:r>
    </w:p>
    <w:p>
      <w:pPr>
        <w:pStyle w:val="BodyTextIndent"/>
        <w:rPr/>
      </w:pPr>
      <w:r>
        <w:rPr/>
      </w:r>
    </w:p>
    <w:p>
      <w:pPr>
        <w:pStyle w:val="BodyTextIndent"/>
        <w:rPr/>
      </w:pPr>
      <w:r>
        <w:rPr/>
        <w:tab/>
      </w:r>
      <w:r>
        <w:rPr>
          <w:u w:val="single"/>
        </w:rPr>
        <w:t>Independence of any market participant</w:t>
      </w:r>
    </w:p>
    <w:p>
      <w:pPr>
        <w:pStyle w:val="BodyTextIndent"/>
        <w:rPr>
          <w:u w:val="single"/>
        </w:rPr>
      </w:pPr>
      <w:r>
        <w:rPr>
          <w:u w:val="single"/>
        </w:rPr>
      </w:r>
    </w:p>
    <w:p>
      <w:pPr>
        <w:pStyle w:val="BodyTextIndent"/>
        <w:rPr/>
      </w:pPr>
      <w:r>
        <w:rPr/>
        <w:t xml:space="preserve">The FERC found that GridSouth would be independent of market participants.  FERC’s conclusions are based on the findings that 1) directors, officers and employees may not have any affiliation with, or any direct financial interest in, any market participant, and may only have an indirect financial interest in limited circumstances (pension funds), and 2) a standard of conduct will prevent control of decision making by market participants.  FERC also concluded that true independence would be achieved through i) the passive ownership of transmission owners without day-to-day control over RTO activities and subject to audit, ii) the authority of GridSouth to make Federal Power Act section 205 filings (to change the tariff) and iii) the creation of a stakeholder advisory committee to advise the Board.  Finally, FERC permitted GridSouth members to retain “limited reservation of rights over certain fundamental business decision” (p.14), such as mergers.  </w:t>
      </w:r>
    </w:p>
    <w:p>
      <w:pPr>
        <w:pStyle w:val="BodyTextIndent"/>
        <w:rPr/>
      </w:pPr>
      <w:r>
        <w:rPr/>
      </w:r>
    </w:p>
    <w:p>
      <w:pPr>
        <w:pStyle w:val="BodyTextIndent"/>
        <w:ind w:hanging="0" w:start="0" w:end="0"/>
        <w:rPr/>
      </w:pPr>
      <w:r>
        <w:rPr/>
        <w:t xml:space="preserve">       </w:t>
      </w:r>
      <w:r>
        <w:rPr>
          <w:u w:val="single"/>
        </w:rPr>
        <w:t>Board selection and fiduciary duties</w:t>
      </w:r>
    </w:p>
    <w:p>
      <w:pPr>
        <w:pStyle w:val="BodyTextIndent"/>
        <w:rPr>
          <w:u w:val="single"/>
        </w:rPr>
      </w:pPr>
      <w:r>
        <w:rPr>
          <w:u w:val="single"/>
        </w:rPr>
      </w:r>
    </w:p>
    <w:p>
      <w:pPr>
        <w:pStyle w:val="BodyTextIndent"/>
        <w:rPr/>
      </w:pPr>
      <w:r>
        <w:rPr/>
        <w:t xml:space="preserve"> </w:t>
      </w:r>
      <w:r>
        <w:rPr/>
        <w:t>FERC required GridSouth to use a slate of candidates selected by an independent search firm and permitted the passive owners and stakeholders each an equal number of strikes of potential board members.  In addition, FERC accepted a proposed statement of fiduciary duties as “sufficient assurance that Board members will disregard the interests of GridSouth members other than their investment in GridSouth’s transmission business” (p.19).</w:t>
      </w:r>
    </w:p>
    <w:p>
      <w:pPr>
        <w:pStyle w:val="BodyTextIndent"/>
        <w:rPr/>
      </w:pPr>
      <w:r>
        <w:rPr/>
      </w:r>
    </w:p>
    <w:p>
      <w:pPr>
        <w:pStyle w:val="BodyTextIndent"/>
        <w:rPr/>
      </w:pPr>
      <w:r>
        <w:rPr/>
        <w:t xml:space="preserve">            </w:t>
      </w:r>
      <w:r>
        <w:rPr>
          <w:u w:val="single"/>
        </w:rPr>
        <w:t>Stakeholder Advisory Committee (SAC)</w:t>
      </w:r>
    </w:p>
    <w:p>
      <w:pPr>
        <w:pStyle w:val="BodyTextIndent"/>
        <w:rPr/>
      </w:pPr>
      <w:r>
        <w:rPr/>
      </w:r>
    </w:p>
    <w:p>
      <w:pPr>
        <w:pStyle w:val="BodyTextIndent"/>
        <w:rPr/>
      </w:pPr>
      <w:r>
        <w:rPr/>
        <w:t>FERC approved a two-tiered form of governance, with the Board not bound by recommendations of the SAC.  The SAC would consist of four groups -- generation owners located within GridSouth, non-generation owning brokers, marketers and aggregators, transmission owners, and municipalities, cooperatives and other distribution companies -- with a fifth group of retail customers added once retail choice is implemented in North Carolina.  A process for communication between the Board and the SAC must be worked out with the stakeholders.</w:t>
      </w:r>
    </w:p>
    <w:p>
      <w:pPr>
        <w:pStyle w:val="BodyTextIndent"/>
        <w:rPr/>
      </w:pPr>
      <w:r>
        <w:rPr/>
      </w:r>
    </w:p>
    <w:p>
      <w:pPr>
        <w:pStyle w:val="BodyTextIndent"/>
        <w:rPr/>
      </w:pPr>
      <w:r>
        <w:rPr>
          <w:u w:val="single"/>
        </w:rPr>
        <w:t>RTO Characteristic No. 2: Scope and Regional Configuration</w:t>
      </w:r>
      <w:r>
        <w:rPr/>
        <w:t xml:space="preserve"> </w:t>
      </w:r>
    </w:p>
    <w:p>
      <w:pPr>
        <w:pStyle w:val="BodyTextIndent"/>
        <w:rPr/>
      </w:pPr>
      <w:r>
        <w:rPr/>
      </w:r>
    </w:p>
    <w:p>
      <w:pPr>
        <w:pStyle w:val="BodyTextIndent"/>
        <w:rPr/>
      </w:pPr>
      <w:r>
        <w:rPr/>
        <w:tab/>
      </w:r>
      <w:r>
        <w:rPr>
          <w:u w:val="single"/>
        </w:rPr>
        <w:t xml:space="preserve">GridSouth must serve an appropriate region   </w:t>
      </w:r>
    </w:p>
    <w:p>
      <w:pPr>
        <w:pStyle w:val="BodyTextIndent"/>
        <w:rPr>
          <w:u w:val="single"/>
        </w:rPr>
      </w:pPr>
      <w:r>
        <w:rPr>
          <w:u w:val="single"/>
        </w:rPr>
      </w:r>
    </w:p>
    <w:p>
      <w:pPr>
        <w:pStyle w:val="BodyTextIndent"/>
        <w:rPr/>
      </w:pPr>
      <w:r>
        <w:rPr/>
        <w:t>Ignoring strong protests from various stakeholders, FERC found that GridSouth’s proposed scope and configuration were consistent with Order No. 2000, contingent on applicant’s participation in a staff conference concerning the integration of Sante Cooper.  FERC characterized GridSouth as “a good first step toward the creation of an RTO in the Southeast region” that “could serve as a platform for the formation of a larger RTO in the Southeast” (p27), but FERC emphasized that GridSouth must continue to expand as Applicants committed in the filing.</w:t>
      </w:r>
    </w:p>
    <w:p>
      <w:pPr>
        <w:pStyle w:val="BodyTextIndent"/>
        <w:rPr/>
      </w:pPr>
      <w:r>
        <w:rPr/>
      </w:r>
    </w:p>
    <w:p>
      <w:pPr>
        <w:pStyle w:val="BodyTextIndent"/>
        <w:ind w:firstLine="1260" w:end="0"/>
        <w:rPr>
          <w:u w:val="single"/>
        </w:rPr>
      </w:pPr>
      <w:r>
        <w:rPr>
          <w:u w:val="single"/>
        </w:rPr>
        <w:t>RTO Characteristic No. 3: Operational Authority</w:t>
      </w:r>
    </w:p>
    <w:p>
      <w:pPr>
        <w:pStyle w:val="BodyTextIndent"/>
        <w:rPr/>
      </w:pPr>
      <w:r>
        <w:rPr/>
      </w:r>
    </w:p>
    <w:p>
      <w:pPr>
        <w:pStyle w:val="BodyTextIndent"/>
        <w:rPr/>
      </w:pPr>
      <w:r>
        <w:rPr/>
        <w:t>In response to the proposal that applicants retain operational control over their transmission assets with GridSouth functioning in a manner similar to a control area operator over its region, FERC concluded that 1) GridSouth will be able to direct all actions that affect the facilities under its control and 2) this proposed division of functions meets the minimum requirements of Order No. 2000.</w:t>
      </w:r>
      <w:r>
        <w:br w:type="page"/>
      </w:r>
    </w:p>
    <w:p>
      <w:pPr>
        <w:pStyle w:val="BodyTextIndent"/>
        <w:rPr/>
      </w:pPr>
      <w:r>
        <w:rPr/>
      </w:r>
    </w:p>
    <w:p>
      <w:pPr>
        <w:pStyle w:val="BodyTextIndent"/>
        <w:ind w:firstLine="1260" w:end="0"/>
        <w:rPr>
          <w:u w:val="single"/>
        </w:rPr>
      </w:pPr>
      <w:r>
        <w:rPr>
          <w:u w:val="single"/>
        </w:rPr>
        <w:t>RTO Characteristic No. 4:  Short-Term Reliability</w:t>
      </w:r>
    </w:p>
    <w:p>
      <w:pPr>
        <w:pStyle w:val="BodyTextIndent"/>
        <w:rPr>
          <w:u w:val="single"/>
        </w:rPr>
      </w:pPr>
      <w:r>
        <w:rPr>
          <w:u w:val="single"/>
        </w:rPr>
      </w:r>
    </w:p>
    <w:p>
      <w:pPr>
        <w:pStyle w:val="BodyTextIndent"/>
        <w:ind w:hanging="0" w:end="0"/>
        <w:rPr/>
      </w:pPr>
      <w:r>
        <w:rPr/>
        <w:tab/>
        <w:t xml:space="preserve">The RTO must have exclusive authority for maintaining the short-term reliability of the grid that it operates.  FERC concluded that GridSouth has sufficient authority over scheduling, approving scheduled outages by generators, and other reliability matters and, therefore, met the Short-Term Reliability requirements of Order No. 2000. </w:t>
      </w:r>
    </w:p>
    <w:p>
      <w:pPr>
        <w:pStyle w:val="BodyTextIndent"/>
        <w:ind w:hanging="0" w:end="0"/>
        <w:rPr/>
      </w:pPr>
      <w:r>
        <w:rPr/>
      </w:r>
    </w:p>
    <w:p>
      <w:pPr>
        <w:pStyle w:val="BodyTextIndent"/>
        <w:ind w:hanging="0" w:end="0"/>
        <w:rPr/>
      </w:pPr>
      <w:r>
        <w:rPr/>
      </w:r>
    </w:p>
    <w:p>
      <w:pPr>
        <w:pStyle w:val="BodyTextIndent"/>
        <w:ind w:firstLine="1260" w:end="0"/>
        <w:rPr>
          <w:u w:val="single"/>
        </w:rPr>
      </w:pPr>
      <w:r>
        <w:rPr>
          <w:u w:val="single"/>
        </w:rPr>
        <w:t>RTO Function No. 1: Tariff Administration and Design</w:t>
      </w:r>
    </w:p>
    <w:p>
      <w:pPr>
        <w:pStyle w:val="BodyTextIndent"/>
        <w:ind w:hanging="0" w:end="0"/>
        <w:rPr>
          <w:u w:val="single"/>
        </w:rPr>
      </w:pPr>
      <w:r>
        <w:rPr>
          <w:u w:val="single"/>
        </w:rPr>
      </w:r>
    </w:p>
    <w:p>
      <w:pPr>
        <w:pStyle w:val="BodyTextIndent"/>
        <w:ind w:hanging="0" w:end="0"/>
        <w:rPr/>
      </w:pPr>
      <w:r>
        <w:rPr/>
        <w:tab/>
        <w:t>As approved, GridSouth will be the sole provider of transmission service within its region with authority to file with the Commission to change its tariff (Federal Power Act section 205), and will provide interconnection service under its tariff.  New wholesale transactions are subject to the rates, terms and conditions of GridSouth’s tariff, while Native load service and grand fathered contracts will be served under the terms and conditions of GridSouth’s tariff, but will not be subject to the tariff rates, except GridSouth’s Transmission Service Charge and net re-dispatch charges.</w:t>
      </w:r>
    </w:p>
    <w:p>
      <w:pPr>
        <w:pStyle w:val="BodyTextIndent"/>
        <w:ind w:hanging="0" w:end="0"/>
        <w:rPr/>
      </w:pPr>
      <w:r>
        <w:rPr/>
      </w:r>
    </w:p>
    <w:p>
      <w:pPr>
        <w:pStyle w:val="BodyTextIndent"/>
        <w:ind w:hanging="0" w:end="0"/>
        <w:rPr/>
      </w:pPr>
      <w:r>
        <w:rPr/>
        <w:tab/>
        <w:t>As part of the justification for its findings and consist with GridSouth’s proposal, the FERC stated that Order No. 2000 “does require that Applicants and other TOA [Transmission Operating Agreement] participants needing to meet their retail load be placed completely under the GridSouth OATT [Open-Access Transmission Tariff]” (p40) under a contract between GridSouth and TOA participants who become transmission customers.  This expansion of Order No. 2000 comes close to placing all uses under the same tariff, but falls short by permitting bundled retail service to avoid paying the same transmission rate as others under the tariff.</w:t>
      </w:r>
    </w:p>
    <w:p>
      <w:pPr>
        <w:pStyle w:val="BodyTextIndent"/>
        <w:ind w:hanging="0" w:end="0"/>
        <w:rPr/>
      </w:pPr>
      <w:r>
        <w:rPr/>
      </w:r>
    </w:p>
    <w:p>
      <w:pPr>
        <w:pStyle w:val="BodyTextIndent"/>
        <w:ind w:firstLine="1260" w:end="0"/>
        <w:rPr>
          <w:u w:val="single"/>
        </w:rPr>
      </w:pPr>
      <w:r>
        <w:rPr>
          <w:u w:val="single"/>
        </w:rPr>
        <w:t>Transmission, Ancillary Services, and Transmission Service Charges</w:t>
      </w:r>
    </w:p>
    <w:p>
      <w:pPr>
        <w:pStyle w:val="BodyTextIndent"/>
        <w:ind w:hanging="0" w:end="0"/>
        <w:rPr/>
      </w:pPr>
      <w:r>
        <w:rPr/>
      </w:r>
    </w:p>
    <w:p>
      <w:pPr>
        <w:pStyle w:val="BodyTextIndent"/>
        <w:ind w:hanging="0" w:end="0"/>
        <w:rPr/>
      </w:pPr>
      <w:r>
        <w:rPr/>
        <w:t xml:space="preserve"> </w:t>
      </w:r>
      <w:r>
        <w:rPr/>
        <w:tab/>
        <w:t>Although the FERC decided to address Applicants’ proposed rates in a supplemental filing, FERC appeared to accept GridSouth’s proposed single license plate rate and the through and out rate based on the average of the Applicants’ license plate rates weighted by transmission investment.  Similarly, the FERC appeared to accept the proposed Transmission Service Charge (TSC) to recover GridSouth’s operating cost and capital costs based on a formula rate as a surcharge.</w:t>
      </w:r>
    </w:p>
    <w:p>
      <w:pPr>
        <w:pStyle w:val="BodyTextIndent"/>
        <w:ind w:hanging="0" w:end="0"/>
        <w:rPr/>
      </w:pPr>
      <w:r>
        <w:rPr/>
      </w:r>
    </w:p>
    <w:p>
      <w:pPr>
        <w:pStyle w:val="BodyTextIndent"/>
        <w:rPr>
          <w:u w:val="single"/>
        </w:rPr>
      </w:pPr>
      <w:r>
        <w:rPr>
          <w:u w:val="single"/>
        </w:rPr>
        <w:t>RTO Function No. 2: Congestion Management</w:t>
      </w:r>
    </w:p>
    <w:p>
      <w:pPr>
        <w:pStyle w:val="BodyTextIndent"/>
        <w:ind w:hanging="0" w:end="0"/>
        <w:rPr/>
      </w:pPr>
      <w:r>
        <w:rPr/>
      </w:r>
    </w:p>
    <w:p>
      <w:pPr>
        <w:pStyle w:val="BodyTextIndent"/>
        <w:rPr/>
      </w:pPr>
      <w:r>
        <w:rPr/>
        <w:t>The RTO must ensure the development and operation of market mechanisms to manage transmission congestion.  The RTO must satisfy the market mechanism requirement no later than one year after it commences initial operation.  However, it must have in place at the time of initial operation an effective protocol for managing congestion.</w:t>
      </w:r>
    </w:p>
    <w:p>
      <w:pPr>
        <w:pStyle w:val="BodyTextIndent"/>
        <w:ind w:hanging="0" w:end="0"/>
        <w:rPr/>
      </w:pPr>
      <w:r>
        <w:rPr/>
      </w:r>
    </w:p>
    <w:p>
      <w:pPr>
        <w:pStyle w:val="BodyTextIndent"/>
        <w:ind w:hanging="0" w:end="0"/>
        <w:rPr/>
      </w:pPr>
      <w:r>
        <w:rPr/>
        <w:tab/>
        <w:t>FERC accepted GridSouth’s interim congestion proposal to manage congestion of existing firm transmission by arranging redispatch of generation where generators are required to submit incremental and decremental bids and the cost of redispatch will be allocated based on the load’s impact on the congested transmission path.  Under its proposal, new transmission must pay redispatch cost directly to the affected generators with GridSouth facilitating the transaction.  By contrast, must run generators will be compensated based on FERC approved rates with the cost pro-rated among all firm services.  GridSouth will establish a process to address a long-term solution to congestion.</w:t>
      </w:r>
    </w:p>
    <w:p>
      <w:pPr>
        <w:pStyle w:val="BodyTextIndent"/>
        <w:ind w:hanging="0" w:end="0"/>
        <w:rPr/>
      </w:pPr>
      <w:r>
        <w:rPr/>
      </w:r>
    </w:p>
    <w:p>
      <w:pPr>
        <w:pStyle w:val="BodyTextIndent"/>
        <w:ind w:firstLine="1260" w:end="0"/>
        <w:rPr>
          <w:u w:val="single"/>
        </w:rPr>
      </w:pPr>
      <w:r>
        <w:rPr>
          <w:u w:val="single"/>
        </w:rPr>
        <w:t>RTO Function No. 3:  Parallel Path Flow</w:t>
      </w:r>
    </w:p>
    <w:p>
      <w:pPr>
        <w:pStyle w:val="BodyTextIndent"/>
        <w:ind w:hanging="0" w:end="0"/>
        <w:rPr/>
      </w:pPr>
      <w:r>
        <w:rPr/>
      </w:r>
    </w:p>
    <w:p>
      <w:pPr>
        <w:pStyle w:val="BodyTextIndent"/>
        <w:ind w:hanging="0" w:end="0"/>
        <w:rPr/>
      </w:pPr>
      <w:r>
        <w:rPr/>
        <w:tab/>
        <w:t>The RTO must develop and implement procedures to address parallel flow issues within its region and with other regions.  The RTO must satisfy this requirement with respect to coordination with other regions no later than three years after it commences initial operation.  FERC accepted GridSouth's statements that it will have procedures in effect within three years as sufficient to meet Order No. 2000 requirements.</w:t>
      </w:r>
    </w:p>
    <w:p>
      <w:pPr>
        <w:pStyle w:val="BodyTextIndent"/>
        <w:ind w:hanging="0" w:end="0"/>
        <w:rPr/>
      </w:pPr>
      <w:r>
        <w:rPr/>
      </w:r>
    </w:p>
    <w:p>
      <w:pPr>
        <w:pStyle w:val="BodyTextIndent"/>
        <w:ind w:firstLine="1260" w:end="0"/>
        <w:rPr>
          <w:u w:val="single"/>
        </w:rPr>
      </w:pPr>
      <w:r>
        <w:rPr>
          <w:u w:val="single"/>
        </w:rPr>
        <w:t>RTO Function No. 4:  Ancillary Service</w:t>
      </w:r>
    </w:p>
    <w:p>
      <w:pPr>
        <w:pStyle w:val="BodyTextIndent"/>
        <w:ind w:hanging="0" w:end="0"/>
        <w:rPr>
          <w:u w:val="single"/>
        </w:rPr>
      </w:pPr>
      <w:r>
        <w:rPr>
          <w:u w:val="single"/>
        </w:rPr>
      </w:r>
    </w:p>
    <w:p>
      <w:pPr>
        <w:pStyle w:val="BodyTextIndent"/>
        <w:tabs>
          <w:tab w:val="clear" w:pos="720"/>
          <w:tab w:val="left" w:pos="0" w:leader="none"/>
        </w:tabs>
        <w:rPr/>
      </w:pPr>
      <w:r>
        <w:rPr/>
        <w:t xml:space="preserve">The RTO must serve as a provider of last resort of all ancillary services required by Order No. 888, </w:t>
      </w:r>
      <w:r>
        <w:rPr>
          <w:u w:val="single"/>
        </w:rPr>
        <w:t>et</w:t>
      </w:r>
      <w:r>
        <w:rPr/>
        <w:t xml:space="preserve"> </w:t>
      </w:r>
      <w:r>
        <w:rPr>
          <w:u w:val="single"/>
        </w:rPr>
        <w:t>al</w:t>
      </w:r>
      <w:r>
        <w:rPr/>
        <w:t>. and provide for a real time balancing market.  FERC concluded that GridSouth would be the provider of last resort for ancillary services and concluded its proposal for a real time balancing market failed to meet the requirements of Order No. 2000.  But, FERC then gave GridSouth a pass by just requiring that “Applicants must make a filing with the [FERC] describing how GridSouth will implement market mechanisms for real-time energy balancing within one year” of GridSouth becoming independent (p48).</w:t>
      </w:r>
      <w:r>
        <w:br w:type="page"/>
      </w:r>
    </w:p>
    <w:p>
      <w:pPr>
        <w:pStyle w:val="BodyTextIndent"/>
        <w:ind w:hanging="0" w:start="720" w:end="0"/>
        <w:rPr>
          <w:u w:val="single"/>
        </w:rPr>
      </w:pPr>
      <w:r>
        <w:rPr>
          <w:u w:val="single"/>
        </w:rPr>
        <w:t>RTO Function No. 5:  OASIS, Total Transmission Capability (TTC) and Available Transmission Capability (ATC)</w:t>
      </w:r>
    </w:p>
    <w:p>
      <w:pPr>
        <w:pStyle w:val="BodyTextIndent"/>
        <w:ind w:hanging="0" w:end="0"/>
        <w:rPr>
          <w:u w:val="single"/>
        </w:rPr>
      </w:pPr>
      <w:r>
        <w:rPr>
          <w:u w:val="single"/>
        </w:rPr>
      </w:r>
    </w:p>
    <w:p>
      <w:pPr>
        <w:pStyle w:val="BodyTextIndent"/>
        <w:ind w:hanging="0" w:end="0"/>
        <w:rPr/>
      </w:pPr>
      <w:r>
        <w:rPr/>
        <w:tab/>
        <w:t>The RTO must be the single OASIS site administrator for all transmission facilities under its control and independently calculate TTC and ATC.  Although the FERC concluded that GridSouth met this requirement, FERC agreed with commenters that GridSouth must have the authority to verify equipment ratings and resolve disputes over ATC calculations and required Applicants to file procedures to implement this change.</w:t>
      </w:r>
    </w:p>
    <w:p>
      <w:pPr>
        <w:pStyle w:val="BodyTextIndent"/>
        <w:ind w:hanging="0" w:end="0"/>
        <w:rPr/>
      </w:pPr>
      <w:r>
        <w:rPr/>
      </w:r>
    </w:p>
    <w:p>
      <w:pPr>
        <w:pStyle w:val="BodyTextIndent"/>
        <w:ind w:firstLine="1260" w:end="0"/>
        <w:rPr>
          <w:u w:val="single"/>
        </w:rPr>
      </w:pPr>
      <w:r>
        <w:rPr>
          <w:u w:val="single"/>
        </w:rPr>
        <w:t>RTO Function No. 6: Market Monitoring</w:t>
      </w:r>
    </w:p>
    <w:p>
      <w:pPr>
        <w:pStyle w:val="BodyTextIndent"/>
        <w:ind w:hanging="0" w:end="0"/>
        <w:rPr/>
      </w:pPr>
      <w:r>
        <w:rPr/>
      </w:r>
    </w:p>
    <w:p>
      <w:pPr>
        <w:pStyle w:val="BodyTextIndent"/>
        <w:ind w:hanging="0" w:end="0"/>
        <w:rPr/>
      </w:pPr>
      <w:r>
        <w:rPr/>
        <w:tab/>
        <w:t>To ensure that the RTO provides reliable, efficient and not unduly discriminatory transmission service, the RTO must provide for objective monitoring of markets it operates or administers to identify market design flaws, market power abuses and opportunities for efficiency improvement, and propose appropriate actions.</w:t>
      </w:r>
    </w:p>
    <w:p>
      <w:pPr>
        <w:pStyle w:val="BodyTextIndent"/>
        <w:ind w:hanging="0" w:end="0"/>
        <w:rPr/>
      </w:pPr>
      <w:r>
        <w:rPr/>
      </w:r>
    </w:p>
    <w:p>
      <w:pPr>
        <w:pStyle w:val="BodyTextIndent"/>
        <w:ind w:hanging="0" w:end="0"/>
        <w:rPr/>
      </w:pPr>
      <w:r>
        <w:rPr/>
        <w:tab/>
        <w:t xml:space="preserve">FERC approved GridSouths market monitoring proposal while reserving the authority to issue a supplemental order.  Under the proposal, the SAC will choose an independent market monitor for a three-year term subject to removal for cause with notice to the Commission.  The market monitor would gather information, identify market flaws and potential abuses of market power, but would not have the authority to impose penalties, sanctions or to change any rates, terms and conditions.  Any improprieties would be reported to the Board.  The market monitor would also perform the independent audit of the Board.  </w:t>
      </w:r>
    </w:p>
    <w:p>
      <w:pPr>
        <w:pStyle w:val="BodyTextIndent"/>
        <w:ind w:hanging="0" w:end="0"/>
        <w:rPr/>
      </w:pPr>
      <w:r>
        <w:rPr/>
      </w:r>
    </w:p>
    <w:p>
      <w:pPr>
        <w:pStyle w:val="BodyTextIndent"/>
        <w:ind w:hanging="0" w:end="0"/>
        <w:rPr/>
      </w:pPr>
      <w:r>
        <w:rPr/>
        <w:tab/>
        <w:t xml:space="preserve">Ignoring strong protests, FERC concluded that the market monitor was sufficiently independent because Order No. 2000 does not require the market monitor to be independent of the RTO and the standard for removal is clear and not subject to abuse.  FERC also deferred consideration of issues relate to data and information access until GridSouth files the market monitoring information gathering system. </w:t>
      </w:r>
    </w:p>
    <w:p>
      <w:pPr>
        <w:pStyle w:val="BodyTextIndent"/>
        <w:ind w:hanging="0" w:end="0"/>
        <w:rPr/>
      </w:pPr>
      <w:r>
        <w:rPr/>
      </w:r>
    </w:p>
    <w:p>
      <w:pPr>
        <w:pStyle w:val="BodyTextIndent"/>
        <w:ind w:firstLine="1260" w:end="0"/>
        <w:rPr>
          <w:u w:val="single"/>
        </w:rPr>
      </w:pPr>
      <w:r>
        <w:rPr>
          <w:u w:val="single"/>
        </w:rPr>
        <w:t>RTO Function No. 7:  Planning and Expansion</w:t>
      </w:r>
    </w:p>
    <w:p>
      <w:pPr>
        <w:pStyle w:val="BodyTextIndent"/>
        <w:ind w:hanging="0" w:end="0"/>
        <w:rPr/>
      </w:pPr>
      <w:r>
        <w:rPr/>
      </w:r>
    </w:p>
    <w:p>
      <w:pPr>
        <w:pStyle w:val="BodyTextIndent"/>
        <w:ind w:hanging="0" w:end="0"/>
        <w:rPr/>
      </w:pPr>
      <w:r>
        <w:rPr/>
        <w:tab/>
        <w:t>The RTO must be responsible for planning and for directing or arranging necessary transmission expansions, additions and upgrades that will enable it to provide efficient, reliable and non-discriminatory transmission service and coordinate such efforts with the appropriate state authorities.  If the RTO is unable to satisfy this requirement when it commences operations, it must file with the Commission a plan with specified milestones that will ensure that it meets this requirement no later than three years after initial operation.</w:t>
      </w:r>
    </w:p>
    <w:p>
      <w:pPr>
        <w:pStyle w:val="BodyTextIndent"/>
        <w:ind w:hanging="0" w:end="0"/>
        <w:rPr/>
      </w:pPr>
      <w:r>
        <w:rPr/>
      </w:r>
    </w:p>
    <w:p>
      <w:pPr>
        <w:pStyle w:val="BodyTextIndent"/>
        <w:ind w:hanging="0" w:end="0"/>
        <w:rPr/>
      </w:pPr>
      <w:r>
        <w:rPr/>
        <w:tab/>
        <w:t xml:space="preserve">Agreeing with many of the concerns of commenters, FERC required significant changes to the proposed transmission planning process.  Among the changes required, FERC required that GridSouth coordinate and act as final decisional authority that approves the plans or requires changes to those plans, while transmission owners have no decisional role in the process.  FERC further clarified “that all transmission planning whether to serve native load or other load will be under the authority of GridSouth”(p.60).  Similarly, FERC required GridSouth to file procedures for the interconnection of new generation where GridSouth approves generation interconnections and not the transmission providers.  FERC also required GridSouth to seek competitive solicitations for expansions, and stated merchant transmission should be permitted.      </w:t>
      </w:r>
    </w:p>
    <w:p>
      <w:pPr>
        <w:pStyle w:val="BodyTextIndent"/>
        <w:ind w:hanging="0" w:end="0"/>
        <w:rPr/>
      </w:pPr>
      <w:r>
        <w:rPr/>
      </w:r>
    </w:p>
    <w:p>
      <w:pPr>
        <w:pStyle w:val="BodyTextIndent"/>
        <w:ind w:firstLine="1260" w:end="0"/>
        <w:rPr>
          <w:u w:val="single"/>
        </w:rPr>
      </w:pPr>
      <w:r>
        <w:rPr>
          <w:u w:val="single"/>
        </w:rPr>
        <w:t>RTO Function No. 8:  Interregional Coordination</w:t>
      </w:r>
    </w:p>
    <w:p>
      <w:pPr>
        <w:pStyle w:val="BodyTextIndent"/>
        <w:ind w:hanging="0" w:end="0"/>
        <w:rPr>
          <w:u w:val="single"/>
        </w:rPr>
      </w:pPr>
      <w:r>
        <w:rPr>
          <w:u w:val="single"/>
        </w:rPr>
      </w:r>
    </w:p>
    <w:p>
      <w:pPr>
        <w:pStyle w:val="BodyTextIndent"/>
        <w:ind w:hanging="0" w:end="0"/>
        <w:rPr/>
      </w:pPr>
      <w:r>
        <w:rPr/>
        <w:tab/>
        <w:t>The RTO must ensure the integration of reliability practices within an interconnection and market interface practices among regions.  Recognizing that GridSouth had not developed a mechanism that integrates the transmission activities of the region, FERC only required GridSouth to provide a schedule for the submission of reports regarding the progress for addressing this issue and required GridSouth to include Southern Companies, Tennessee Valley Authority and other neighboring transmission entities in discussions on this issue.</w:t>
      </w:r>
    </w:p>
    <w:p>
      <w:pPr>
        <w:pStyle w:val="BodyTextIndent"/>
        <w:ind w:hanging="0" w:end="0"/>
        <w:rPr/>
      </w:pPr>
      <w:r>
        <w:rPr/>
        <w:t xml:space="preserve"> </w:t>
      </w:r>
    </w:p>
    <w:p>
      <w:pPr>
        <w:pStyle w:val="BodyTextIndent"/>
        <w:ind w:firstLine="1260" w:end="0"/>
        <w:rPr>
          <w:u w:val="single"/>
        </w:rPr>
      </w:pPr>
      <w:r>
        <w:rPr>
          <w:u w:val="single"/>
        </w:rPr>
        <w:t>Open Architecture</w:t>
      </w:r>
    </w:p>
    <w:p>
      <w:pPr>
        <w:pStyle w:val="BodyTextIndent"/>
        <w:ind w:hanging="0" w:end="0"/>
        <w:rPr/>
      </w:pPr>
      <w:r>
        <w:rPr/>
      </w:r>
    </w:p>
    <w:p>
      <w:pPr>
        <w:pStyle w:val="BodyTextIndent"/>
        <w:ind w:hanging="0" w:end="0"/>
        <w:rPr/>
      </w:pPr>
      <w:r>
        <w:rPr/>
        <w:tab/>
        <w:t xml:space="preserve">Any proposal to participate in an RTO must not contain any provision that would limit the capability of the RTO to evolve in ways that would improve its efficiency, consistent with the required characteristics and required functions for an RTO.  FERC agreed that the GridSouth agreements permit the inclusion of new members, but FERC revised the requirement that transmission owning members must agree to pay a </w:t>
      </w:r>
      <w:r>
        <w:rPr>
          <w:u w:val="single"/>
        </w:rPr>
        <w:t>pro</w:t>
      </w:r>
      <w:r>
        <w:rPr/>
        <w:t xml:space="preserve"> </w:t>
      </w:r>
      <w:r>
        <w:rPr>
          <w:u w:val="single"/>
        </w:rPr>
        <w:t>rata</w:t>
      </w:r>
      <w:r>
        <w:rPr/>
        <w:t xml:space="preserve"> share of start-up costs.  Instead, the cost and conditions for joining will be individually negotiated, although FERC made clear GridSouth could require new members to meet the same line of credit requirements as existing members.  </w:t>
      </w:r>
    </w:p>
    <w:p>
      <w:pPr>
        <w:pStyle w:val="BodyTextIndent"/>
        <w:ind w:hanging="0" w:end="0"/>
        <w:rPr/>
      </w:pPr>
      <w:r>
        <w:rPr/>
      </w:r>
    </w:p>
    <w:p>
      <w:pPr>
        <w:pStyle w:val="BodyTextIndent"/>
        <w:ind w:hanging="0" w:end="0"/>
        <w:rPr>
          <w:u w:val="single"/>
        </w:rPr>
      </w:pPr>
      <w:r>
        <w:rPr>
          <w:u w:val="single"/>
        </w:rPr>
      </w:r>
    </w:p>
    <w:p>
      <w:pPr>
        <w:pStyle w:val="BodyTextIndent"/>
        <w:ind w:hanging="0" w:end="0"/>
        <w:rPr/>
      </w:pPr>
      <w:r>
        <w:rPr/>
        <w:t xml:space="preserve">GridSouth summary.doc </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540" w:start="-540" w:end="0"/>
    </w:pPr>
    <w:rPr>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2001-03-21T05:17:00Z</dcterms:created>
  <dc:creator>jhartso</dc:creator>
  <dc:description/>
  <dc:language>en-CA</dc:language>
  <cp:lastModifiedBy>jhartso</cp:lastModifiedBy>
  <cp:lastPrinted>2001-03-21T09:02:00Z</cp:lastPrinted>
  <dcterms:modified xsi:type="dcterms:W3CDTF">2001-03-21T13:47:00Z</dcterms:modified>
  <cp:revision>31</cp:revision>
  <dc:subject/>
  <dc:title>On March 14, 2000, the Federal Energy Regulatory Commission (FERC) provisionally granted GridSouth Transco, LLC (GridSouth) Re</dc:title>
</cp:coreProperties>
</file>