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GridSouth Order</w:t>
      </w:r>
    </w:p>
    <w:p>
      <w:pPr>
        <w:pStyle w:val="Normal"/>
        <w:jc w:val="center"/>
        <w:rPr>
          <w:b/>
          <w:bCs/>
        </w:rPr>
      </w:pPr>
      <w:r>
        <w:rPr>
          <w:b/>
          <w:bCs/>
        </w:rPr>
        <w:t>7/12/01</w:t>
      </w:r>
    </w:p>
    <w:p>
      <w:pPr>
        <w:pStyle w:val="Normal"/>
        <w:rPr>
          <w:b/>
          <w:bCs/>
        </w:rPr>
      </w:pPr>
      <w:r>
        <w:rPr>
          <w:b/>
          <w:bCs/>
        </w:rPr>
      </w:r>
    </w:p>
    <w:p>
      <w:pPr>
        <w:pStyle w:val="Normal"/>
        <w:rPr>
          <w:b/>
          <w:bCs/>
        </w:rPr>
      </w:pPr>
      <w:r>
        <w:rPr>
          <w:b/>
          <w:bCs/>
        </w:rPr>
      </w:r>
    </w:p>
    <w:p>
      <w:pPr>
        <w:pStyle w:val="Normal"/>
        <w:rPr/>
      </w:pPr>
      <w:r>
        <w:rPr>
          <w:b/>
          <w:bCs/>
        </w:rPr>
        <w:t>Grid South was also directed to participate in the mediation conferences before the FERC ALJ</w:t>
      </w:r>
      <w:r>
        <w:rPr/>
        <w:t xml:space="preserve">.  In a prior order, Grid South was directed to hold talks with Santee Cooper and with Southern in attempt to enlarge the scope of the RTO.  Grid South did hold these talks, but no agreements were reached.  Santee Cooper has problems with start up costs, and with the legal problems of joining the RTO.  Grid South also had talks with Southern, to no avail, and with TVA.  The current order directs the parties, as in </w:t>
      </w:r>
      <w:r>
        <w:rPr>
          <w:u w:val="single"/>
        </w:rPr>
        <w:t>SPP/Entergy</w:t>
      </w:r>
      <w:r>
        <w:rPr/>
        <w:t xml:space="preserve"> and in </w:t>
      </w:r>
      <w:r>
        <w:rPr>
          <w:u w:val="single"/>
        </w:rPr>
        <w:t>Southern</w:t>
      </w:r>
      <w:r>
        <w:rPr/>
        <w:t>, to participate in the mediation proceedings.  FERC encourages participation by state commissions, TVA, SEPA and by Grid Florida.</w:t>
      </w:r>
    </w:p>
    <w:p>
      <w:pPr>
        <w:pStyle w:val="Normal"/>
        <w:rPr/>
      </w:pPr>
      <w:r>
        <w:rPr/>
      </w:r>
    </w:p>
    <w:p>
      <w:pPr>
        <w:pStyle w:val="Normal"/>
        <w:rPr/>
      </w:pPr>
      <w:r>
        <w:rPr>
          <w:b/>
          <w:bCs/>
        </w:rPr>
        <w:t xml:space="preserve">The Commission also found problems with Grid South’s independence, and therefore an independent Board is required to be established </w:t>
      </w:r>
      <w:r>
        <w:rPr/>
        <w:t>and a compliance filing made at FERC within 90 days to make the changes required by this order.  The order stated that binding decisions should be made by the independent board or through a full stakeholder process.  Grid South may only expend funds on non-policy related matters prior to installation of the independent board.</w:t>
      </w:r>
    </w:p>
    <w:p>
      <w:pPr>
        <w:pStyle w:val="Normal"/>
        <w:rPr/>
      </w:pPr>
      <w:r>
        <w:rPr/>
      </w:r>
    </w:p>
    <w:p>
      <w:pPr>
        <w:pStyle w:val="Normal"/>
        <w:rPr/>
      </w:pPr>
      <w:r>
        <w:rPr>
          <w:b/>
          <w:bCs/>
        </w:rPr>
        <w:t xml:space="preserve">The order approves the interim congestion management proposal, with modifications.  GridSouth must, in collaboration with it stakeholders, develop and implement their market-based long-term congestion management plan within one year of start-up.  </w:t>
      </w:r>
      <w:r>
        <w:rPr/>
        <w:t xml:space="preserve">(GridSouth had indicated that if the one-year date had to slip, they would file a report; FERC denied this possibility of delay.)  Grid South had proposed cost-based prices for incs and decs.  The order rejects this and requires the GridSouth Board to modify this aspect of the proposal.  The Board is also directed to revise a provision that would allow GridSouth to charge twice for energy service – both the imbalance charge (if generation is less than scheduled) and a charge to recover redispatch costs.  The Board must also file a more complete explanation how individual control areas and GridSouth will operationally coordinate their balancing and congestion management responsibilities. </w:t>
      </w:r>
    </w:p>
    <w:p>
      <w:pPr>
        <w:pStyle w:val="Normal"/>
        <w:rPr/>
      </w:pPr>
      <w:r>
        <w:rPr/>
      </w:r>
    </w:p>
    <w:p>
      <w:pPr>
        <w:pStyle w:val="Normal"/>
        <w:rPr>
          <w:b/>
          <w:bCs/>
        </w:rPr>
      </w:pPr>
      <w:r>
        <w:rPr>
          <w:b/>
          <w:bCs/>
        </w:rPr>
        <w:t>The Reliability Operating Agreements between GridSouth and the three TOs  are rejected since the independent Board has not been established.</w:t>
      </w:r>
    </w:p>
    <w:p>
      <w:pPr>
        <w:pStyle w:val="Normal"/>
        <w:rPr>
          <w:b/>
          <w:bCs/>
        </w:rPr>
      </w:pPr>
      <w:r>
        <w:rPr>
          <w:b/>
          <w:bCs/>
        </w:rPr>
      </w:r>
    </w:p>
    <w:p>
      <w:pPr>
        <w:pStyle w:val="Normal"/>
        <w:rPr/>
      </w:pPr>
      <w:r>
        <w:rPr>
          <w:b/>
          <w:bCs/>
        </w:rPr>
        <w:t>The order sets out many decisions on the generator interconnection procedures. The Commission will evaluate in the near future the importance of standardizing generation interconnection procedures</w:t>
      </w:r>
      <w:r>
        <w:rPr/>
        <w:t>.  All conversion issues will be taken up in that evaluation.</w:t>
      </w:r>
    </w:p>
    <w:p>
      <w:pPr>
        <w:pStyle w:val="Normal"/>
        <w:numPr>
          <w:ilvl w:val="0"/>
          <w:numId w:val="1"/>
        </w:numPr>
        <w:rPr/>
      </w:pPr>
      <w:r>
        <w:rPr/>
        <w:t>The interconnection process must be under the control of Grid South, not the utilities.  The order finds that the transmission owners are overly involved with the process.</w:t>
      </w:r>
    </w:p>
    <w:p>
      <w:pPr>
        <w:pStyle w:val="Normal"/>
        <w:numPr>
          <w:ilvl w:val="0"/>
          <w:numId w:val="1"/>
        </w:numPr>
        <w:rPr/>
      </w:pPr>
      <w:r>
        <w:rPr/>
        <w:t>Studies should come from Grid South, though they can request expertise and services of the TOs through contracts with these entities.</w:t>
      </w:r>
    </w:p>
    <w:p>
      <w:pPr>
        <w:pStyle w:val="Normal"/>
        <w:numPr>
          <w:ilvl w:val="0"/>
          <w:numId w:val="1"/>
        </w:numPr>
        <w:rPr/>
      </w:pPr>
      <w:r>
        <w:rPr/>
        <w:t>A customer’s cost responsibility for further studies should be limited up until the time of execution of an interconnection agreements.</w:t>
      </w:r>
    </w:p>
    <w:p>
      <w:pPr>
        <w:pStyle w:val="Normal"/>
        <w:numPr>
          <w:ilvl w:val="0"/>
          <w:numId w:val="1"/>
        </w:numPr>
        <w:rPr/>
      </w:pPr>
      <w:r>
        <w:rPr/>
        <w:t>The order encourages GridSouth to develop streamlined processes for small interconnections requests of 20 MW or less.</w:t>
      </w:r>
    </w:p>
    <w:p>
      <w:pPr>
        <w:pStyle w:val="Normal"/>
        <w:numPr>
          <w:ilvl w:val="0"/>
          <w:numId w:val="1"/>
        </w:numPr>
        <w:rPr/>
      </w:pPr>
      <w:r>
        <w:rPr/>
        <w:t>A customer may ask whether a modification to an Interconnection Request would be considered material to affect the place in queue.</w:t>
      </w:r>
    </w:p>
    <w:p>
      <w:pPr>
        <w:pStyle w:val="Normal"/>
        <w:numPr>
          <w:ilvl w:val="0"/>
          <w:numId w:val="1"/>
        </w:numPr>
        <w:rPr/>
      </w:pPr>
      <w:r>
        <w:rPr/>
        <w:t>Grid South must file either an executed or unexecuted interconnection agreement with 30 days of a customer’s request to do so.</w:t>
      </w:r>
    </w:p>
    <w:p>
      <w:pPr>
        <w:pStyle w:val="Normal"/>
        <w:numPr>
          <w:ilvl w:val="0"/>
          <w:numId w:val="1"/>
        </w:numPr>
        <w:rPr/>
      </w:pPr>
      <w:r>
        <w:rPr/>
        <w:t>All network upgrade costs including those necessary to remedy short-circuit and stability problems should be credited back to the customer that funded the upgrades once delivery services begins.</w:t>
      </w:r>
    </w:p>
    <w:p>
      <w:pPr>
        <w:pStyle w:val="Normal"/>
        <w:rPr/>
      </w:pPr>
      <w:r>
        <w:rPr/>
      </w:r>
    </w:p>
    <w:p>
      <w:pPr>
        <w:pStyle w:val="Normal"/>
        <w:rPr>
          <w:b/>
          <w:bCs/>
        </w:rPr>
      </w:pPr>
      <w:r>
        <w:rPr>
          <w:b/>
          <w:bCs/>
        </w:rPr>
        <w:t>GridSouth is the operator of the grid and must have sole responsibility and control over the transmission planning process.  GridSouth will determine the CBM (if any) that is necessary to maintain reliable operations.</w:t>
      </w:r>
    </w:p>
    <w:p>
      <w:pPr>
        <w:pStyle w:val="Normal"/>
        <w:rPr>
          <w:b/>
          <w:bCs/>
        </w:rPr>
      </w:pPr>
      <w:r>
        <w:rPr>
          <w:b/>
          <w:bCs/>
        </w:rPr>
      </w:r>
    </w:p>
    <w:p>
      <w:pPr>
        <w:pStyle w:val="Normal"/>
        <w:rPr>
          <w:b/>
          <w:bCs/>
        </w:rPr>
      </w:pPr>
      <w:r>
        <w:rPr>
          <w:b/>
          <w:bC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2001-07-13T17:05:00Z</dcterms:created>
  <dc:creator>Donna Fulton</dc:creator>
  <dc:description/>
  <dc:language>en-CA</dc:language>
  <cp:lastModifiedBy>dfulton8</cp:lastModifiedBy>
  <dcterms:modified xsi:type="dcterms:W3CDTF">2001-07-13T17:05:00Z</dcterms:modified>
  <cp:revision>2</cp:revision>
  <dc:subject/>
  <dc:title>Grid South was also directed to participate in the mediation conferences before the FERC ALJ</dc:title>
</cp:coreProperties>
</file>