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8"/>
        </w:rPr>
      </w:pPr>
      <w:r>
        <w:rPr>
          <w:rFonts w:ascii="Times New Roman" w:hAnsi="Times New Roman"/>
          <w:b/>
          <w:sz w:val="28"/>
        </w:rPr>
        <w:t>UNITED STATES OF AMERICA</w:t>
      </w:r>
    </w:p>
    <w:p>
      <w:pPr>
        <w:pStyle w:val="Normal"/>
        <w:bidi w:val="0"/>
        <w:spacing w:lineRule="atLeast" w:line="0"/>
        <w:jc w:val="center"/>
        <w:rPr>
          <w:rFonts w:ascii="Times New Roman" w:hAnsi="Times New Roman"/>
          <w:b/>
          <w:sz w:val="28"/>
        </w:rPr>
      </w:pPr>
      <w:r>
        <w:rPr>
          <w:rFonts w:ascii="Times New Roman" w:hAnsi="Times New Roman"/>
          <w:b/>
          <w:sz w:val="28"/>
        </w:rPr>
        <w:t>BEFORE THE</w:t>
      </w:r>
    </w:p>
    <w:p>
      <w:pPr>
        <w:pStyle w:val="Normal"/>
        <w:bidi w:val="0"/>
        <w:spacing w:lineRule="atLeast" w:line="0"/>
        <w:jc w:val="center"/>
        <w:rPr>
          <w:rFonts w:ascii="Times New Roman" w:hAnsi="Times New Roman"/>
          <w:sz w:val="28"/>
        </w:rPr>
      </w:pPr>
      <w:r>
        <w:rPr>
          <w:rFonts w:ascii="Times New Roman" w:hAnsi="Times New Roman"/>
          <w:b/>
          <w:sz w:val="28"/>
        </w:rPr>
        <w:t>FEDERAL ENERGY REGULATORY COMMISSION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____________________________________</w:t>
      </w:r>
    </w:p>
    <w:p>
      <w:pPr>
        <w:pStyle w:val="Normal"/>
        <w:bidi w:val="0"/>
        <w:spacing w:lineRule="atLeast" w:line="0"/>
        <w:jc w:val="both"/>
        <w:rPr>
          <w:rFonts w:ascii="Times New Roman" w:hAnsi="Times New Roman"/>
          <w:sz w:val="24"/>
        </w:rPr>
      </w:pPr>
      <w:r>
        <w:rPr>
          <w:rFonts w:ascii="Times New Roman" w:hAnsi="Times New Roman"/>
          <w:sz w:val="24"/>
        </w:rPr>
        <w:tab/>
        <w:tab/>
        <w:tab/>
        <w:tab/>
        <w:tab/>
        <w:tab/>
        <w:t>)</w:t>
      </w:r>
    </w:p>
    <w:p>
      <w:pPr>
        <w:pStyle w:val="Normal"/>
        <w:tabs>
          <w:tab w:val="left" w:pos="720" w:leader="none"/>
          <w:tab w:val="left" w:pos="1440" w:leader="none"/>
          <w:tab w:val="left" w:pos="2160" w:leader="none"/>
          <w:tab w:val="left" w:pos="2880" w:leader="none"/>
        </w:tabs>
        <w:bidi w:val="0"/>
        <w:spacing w:lineRule="atLeast" w:line="0"/>
        <w:ind w:hanging="2880" w:start="2880"/>
        <w:jc w:val="both"/>
        <w:rPr>
          <w:rFonts w:ascii="Times New Roman" w:hAnsi="Times New Roman"/>
          <w:sz w:val="24"/>
        </w:rPr>
      </w:pPr>
      <w:r>
        <w:rPr>
          <w:rFonts w:ascii="Times New Roman" w:hAnsi="Times New Roman"/>
          <w:sz w:val="24"/>
        </w:rPr>
        <w:t>GridFlorida LLC</w:t>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Florida Power &amp; Light Co.</w:t>
        <w:tab/>
        <w:tab/>
        <w:tab/>
        <w:t>)</w:t>
        <w:tab/>
        <w:t>Docket No. RT01-67-000</w:t>
      </w:r>
    </w:p>
    <w:p>
      <w:pPr>
        <w:pStyle w:val="Normal"/>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4320" w:start="4320"/>
        <w:jc w:val="both"/>
        <w:rPr>
          <w:rFonts w:ascii="Times New Roman" w:hAnsi="Times New Roman"/>
          <w:sz w:val="24"/>
        </w:rPr>
      </w:pPr>
      <w:r>
        <w:rPr>
          <w:rFonts w:ascii="Times New Roman" w:hAnsi="Times New Roman"/>
          <w:sz w:val="24"/>
        </w:rPr>
        <w:t>Florida Power Corporation</w:t>
        <w:tab/>
        <w:tab/>
        <w:tab/>
        <w:t>)</w:t>
      </w:r>
    </w:p>
    <w:p>
      <w:pPr>
        <w:pStyle w:val="Normal"/>
        <w:bidi w:val="0"/>
        <w:spacing w:lineRule="atLeast" w:line="0"/>
        <w:jc w:val="both"/>
        <w:rPr>
          <w:rFonts w:ascii="Times New Roman" w:hAnsi="Times New Roman"/>
          <w:sz w:val="24"/>
        </w:rPr>
      </w:pPr>
      <w:r>
        <w:rPr>
          <w:rFonts w:ascii="Times New Roman" w:hAnsi="Times New Roman"/>
          <w:sz w:val="24"/>
        </w:rPr>
        <w:t>Tampa Electric Co.</w:t>
        <w:tab/>
        <w:tab/>
        <w:tab/>
        <w:tab/>
        <w:t>)</w:t>
      </w:r>
    </w:p>
    <w:p>
      <w:pPr>
        <w:pStyle w:val="Normal"/>
        <w:bidi w:val="0"/>
        <w:spacing w:lineRule="atLeast" w:line="0"/>
        <w:jc w:val="both"/>
        <w:rPr>
          <w:rFonts w:ascii="Times New Roman" w:hAnsi="Times New Roman"/>
          <w:sz w:val="24"/>
        </w:rPr>
      </w:pPr>
      <w:r>
        <w:rPr>
          <w:rFonts w:ascii="Times New Roman" w:hAnsi="Times New Roman"/>
          <w:sz w:val="24"/>
        </w:rPr>
        <w:t>____________________________________)</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8"/>
        </w:rPr>
        <w:t>COMMENTS AND PROTEST OFENRON POWER MARKETING, INC.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sz w:val="24"/>
        </w:rPr>
      </w:pPr>
      <w:r>
        <w:rPr>
          <w:rFonts w:ascii="Times New Roman" w:hAnsi="Times New Roman"/>
          <w:sz w:val="24"/>
        </w:rPr>
        <w:tab/>
        <w:t>Pursuant to 18 C.F.R. § 385.211(2000), the Commission's October 20, 2000, Notice of Filing, and the Commission's October 25, 2000, Supplemental Notice of Filing ("October 25 Supplemental Notice"), Enron Power Marketing, Inc. ("EPMI"), an intervenor in this proceeding, hereby comments on and protests GridFlorida LLC's Regional Transmission Organization ("RTO") proposal in the above-captioned docket.    In support, EPMI states as follows:</w:t>
      </w:r>
    </w:p>
    <w:p>
      <w:pPr>
        <w:pStyle w:val="Normal"/>
        <w:bidi w:val="0"/>
        <w:spacing w:lineRule="atLeast" w:line="480"/>
        <w:jc w:val="both"/>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8"/>
        </w:rPr>
      </w:pPr>
      <w:r>
        <w:rPr>
          <w:rFonts w:ascii="Times New Roman" w:hAnsi="Times New Roman"/>
          <w:b/>
          <w:sz w:val="26"/>
        </w:rPr>
        <w:tab/>
      </w:r>
      <w:r>
        <w:rPr>
          <w:rFonts w:ascii="Times New Roman" w:hAnsi="Times New Roman"/>
          <w:b/>
          <w:sz w:val="28"/>
        </w:rPr>
        <w:t>I.</w:t>
      </w:r>
    </w:p>
    <w:p>
      <w:pPr>
        <w:pStyle w:val="Normal"/>
        <w:bidi w:val="0"/>
        <w:jc w:val="center"/>
        <w:rPr>
          <w:rFonts w:ascii="Times New Roman" w:hAnsi="Times New Roman"/>
          <w:b/>
          <w:sz w:val="26"/>
        </w:rPr>
      </w:pPr>
      <w:r>
        <w:rPr>
          <w:rFonts w:ascii="Times New Roman" w:hAnsi="Times New Roman"/>
          <w:b/>
          <w:sz w:val="28"/>
        </w:rPr>
        <w:t>EXECUTIVE SUMMARY</w:t>
      </w:r>
    </w:p>
    <w:p>
      <w:pPr>
        <w:pStyle w:val="Normal"/>
        <w:bidi w:val="0"/>
        <w:jc w:val="center"/>
        <w:rPr>
          <w:rFonts w:ascii="Times New Roman" w:hAnsi="Times New Roman"/>
          <w:b/>
          <w:sz w:val="26"/>
        </w:rPr>
      </w:pPr>
      <w:r>
        <w:rPr>
          <w:rFonts w:ascii="Times New Roman" w:hAnsi="Times New Roman"/>
          <w:b/>
          <w:sz w:val="26"/>
        </w:rPr>
      </w:r>
    </w:p>
    <w:p>
      <w:pPr>
        <w:pStyle w:val="Normal"/>
        <w:bidi w:val="0"/>
        <w:spacing w:lineRule="atLeast" w:line="480"/>
        <w:jc w:val="both"/>
        <w:rPr>
          <w:rFonts w:ascii="Times New Roman" w:hAnsi="Times New Roman"/>
          <w:sz w:val="24"/>
        </w:rPr>
      </w:pPr>
      <w:r>
        <w:rPr>
          <w:rFonts w:ascii="Times New Roman" w:hAnsi="Times New Roman"/>
          <w:b/>
          <w:sz w:val="26"/>
        </w:rPr>
        <w:tab/>
      </w:r>
      <w:r>
        <w:rPr>
          <w:rFonts w:ascii="Times New Roman" w:hAnsi="Times New Roman"/>
          <w:sz w:val="24"/>
        </w:rPr>
        <w:t>On October 16, 2000, Florida Power &amp; Light Company ("FP&amp;L"), Florida Power Corporation ("FPC"), and Tampa Electric Company ("TEC") (collectively "Applicants") filed a joint Order No. 2000</w:t>
      </w:r>
      <w:r>
        <w:rPr>
          <w:rStyle w:val="FootnoteReference"/>
          <w:rFonts w:ascii="Times New Roman" w:hAnsi="Times New Roman"/>
          <w:sz w:val="24"/>
          <w:vertAlign w:val="superscript"/>
        </w:rPr>
        <w:footnoteReference w:id="2"/>
      </w:r>
      <w:r>
        <w:rPr>
          <w:rFonts w:ascii="Times New Roman" w:hAnsi="Times New Roman"/>
          <w:sz w:val="24"/>
        </w:rPr>
        <w:t xml:space="preserve"> compliance filing in which they propose to form a regional transmission organization in the form of a for-profit transmission company ("Transco"), to be named GridFlorida LLC ("GridFlorida").    Applicants' filing is a positive step toward the formation of an RTO.    It creates a basis capable of meeting all of the characteristics and functions set out by the Commission in Order No. 2000.    EPMI commends the Applicants on their proposal to structure GridFlorida in the form of a for-profit transmission company or Transco that places all transmission services under the tariff.    An independent Transco structure can promote efficiency in the transmission of power and help ensure non-discriminatory access to the transmission grid.    In addition, Applicants' proposal of a system of use-it-or-lose-it tradeable physical transmission rights and the use of a physical flowgate model will encourage bilateral transactions.    EPMI further supports the Applicants' proposal for zonal pricing in the Day-Ahead and Real-Time markets. </w:t>
      </w:r>
    </w:p>
    <w:p>
      <w:pPr>
        <w:pStyle w:val="Normal"/>
        <w:bidi w:val="0"/>
        <w:spacing w:lineRule="atLeast" w:line="480"/>
        <w:jc w:val="both"/>
        <w:rPr>
          <w:rFonts w:ascii="Times New Roman" w:hAnsi="Times New Roman"/>
          <w:sz w:val="24"/>
        </w:rPr>
      </w:pPr>
      <w:r>
        <w:rPr>
          <w:rFonts w:ascii="Times New Roman" w:hAnsi="Times New Roman"/>
          <w:sz w:val="24"/>
        </w:rPr>
        <w:tab/>
        <w:t>Despite these generally favorable initiatives, the GridFlorida proposal is deficient in the following respects:</w:t>
      </w:r>
    </w:p>
    <w:p>
      <w:pPr>
        <w:pStyle w:val="Normal"/>
        <w:bidi w:val="0"/>
        <w:spacing w:lineRule="atLeast" w:line="480"/>
        <w:jc w:val="both"/>
        <w:rPr>
          <w:rFonts w:ascii="Times New Roman" w:hAnsi="Times New Roman"/>
          <w:sz w:val="24"/>
        </w:rPr>
      </w:pPr>
      <w:r>
        <w:rPr>
          <w:rFonts w:ascii="Times New Roman" w:hAnsi="Times New Roman"/>
          <w:b/>
          <w:sz w:val="24"/>
          <w:u w:val="single"/>
        </w:rPr>
        <w:t>Congestion Management (Function 2)</w:t>
      </w:r>
    </w:p>
    <w:p>
      <w:pPr>
        <w:pStyle w:val="Normal"/>
        <w:bidi w:val="0"/>
        <w:ind w:hanging="0" w:start="720" w:end="720"/>
        <w:jc w:val="both"/>
        <w:rPr>
          <w:rFonts w:ascii="Times New Roman" w:hAnsi="Times New Roman"/>
          <w:sz w:val="24"/>
        </w:rPr>
      </w:pPr>
      <w:r>
        <w:rPr>
          <w:rFonts w:ascii="WP TypographicSymbols" w:hAnsi="WP TypographicSymbols"/>
          <w:b/>
          <w:sz w:val="24"/>
        </w:rPr>
        <w:t></w:t>
      </w:r>
      <w:r>
        <w:rPr>
          <w:rFonts w:ascii="Times New Roman" w:hAnsi="Times New Roman"/>
          <w:b/>
          <w:sz w:val="24"/>
        </w:rPr>
        <w:t xml:space="preserve">    </w:t>
      </w:r>
      <w:r>
        <w:rPr>
          <w:rFonts w:ascii="Times New Roman" w:hAnsi="Times New Roman"/>
          <w:b/>
          <w:sz w:val="24"/>
        </w:rPr>
        <w:t>Grandfathering of Physical Transmission Rights ("PTRs")</w:t>
      </w:r>
      <w:r>
        <w:rPr>
          <w:rFonts w:ascii="Times New Roman" w:hAnsi="Times New Roman"/>
          <w:sz w:val="24"/>
        </w:rPr>
        <w:t>:    GridFlorida's proposal to allocate transmission capacity to native load and pre-existing contracts, with no auction of the capacity, is inefficient and contrary to the Commission's preference for a market mechanism.</w:t>
      </w:r>
    </w:p>
    <w:p>
      <w:pPr>
        <w:pStyle w:val="Normal"/>
        <w:bidi w:val="0"/>
        <w:jc w:val="both"/>
        <w:rPr>
          <w:rFonts w:ascii="Times New Roman" w:hAnsi="Times New Roman"/>
          <w:sz w:val="24"/>
        </w:rPr>
      </w:pP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z w:val="24"/>
          <w:u w:val="single"/>
        </w:rPr>
        <w:t>Ancillary Services (Function 4)</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end="720"/>
        <w:jc w:val="both"/>
        <w:rPr>
          <w:rFonts w:ascii="Times New Roman" w:hAnsi="Times New Roman"/>
          <w:sz w:val="24"/>
        </w:rPr>
      </w:pPr>
      <w:r>
        <w:rPr>
          <w:rFonts w:ascii="WP TypographicSymbols" w:hAnsi="WP TypographicSymbols"/>
          <w:b/>
          <w:sz w:val="24"/>
        </w:rPr>
        <w:t></w:t>
      </w:r>
      <w:r>
        <w:rPr>
          <w:rFonts w:ascii="Times New Roman" w:hAnsi="Times New Roman"/>
          <w:b/>
          <w:sz w:val="24"/>
        </w:rPr>
        <w:t xml:space="preserve">    </w:t>
      </w:r>
      <w:r>
        <w:rPr>
          <w:rFonts w:ascii="Times New Roman" w:hAnsi="Times New Roman"/>
          <w:b/>
          <w:sz w:val="24"/>
        </w:rPr>
        <w:t>Real-Time Energy Balancing Market</w:t>
      </w:r>
      <w:r>
        <w:rPr>
          <w:rFonts w:ascii="Times New Roman" w:hAnsi="Times New Roman"/>
          <w:sz w:val="24"/>
        </w:rPr>
        <w:t>:    The proposal with respect to energy balancing offers only an accounting system for settling imbalances; Applicants should offer a balancing market in which transmission customers can clear their energy imbalances against other customers that are oppositely out of balance.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z w:val="24"/>
          <w:u w:val="single"/>
        </w:rPr>
        <w:t>Independence (Characteristic 1)</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end="720"/>
        <w:jc w:val="both"/>
        <w:rPr>
          <w:rFonts w:ascii="Times New Roman" w:hAnsi="Times New Roman"/>
          <w:sz w:val="24"/>
        </w:rPr>
      </w:pPr>
      <w:r>
        <w:rPr>
          <w:rFonts w:ascii="WP TypographicSymbols" w:hAnsi="WP TypographicSymbols"/>
          <w:b/>
          <w:sz w:val="24"/>
        </w:rPr>
        <w:t></w:t>
      </w:r>
      <w:r>
        <w:rPr>
          <w:rFonts w:ascii="Times New Roman" w:hAnsi="Times New Roman"/>
          <w:b/>
          <w:sz w:val="24"/>
        </w:rPr>
        <w:t xml:space="preserve">    </w:t>
      </w:r>
      <w:r>
        <w:rPr>
          <w:rFonts w:ascii="Times New Roman" w:hAnsi="Times New Roman"/>
          <w:b/>
          <w:sz w:val="24"/>
        </w:rPr>
        <w:t>Governing Board</w:t>
      </w:r>
      <w:r>
        <w:rPr>
          <w:rFonts w:ascii="Times New Roman" w:hAnsi="Times New Roman"/>
          <w:sz w:val="24"/>
        </w:rPr>
        <w:t xml:space="preserve">:    The selection process for the Board of Directors ("Board") fails to meet the Commission's independence requirement because it is heavily weighted towards utilities; the committee that selects the initial Board should be representative of all industry sectors and the criteria used to select directors should be transparent.    </w:t>
      </w:r>
    </w:p>
    <w:p>
      <w:pPr>
        <w:pStyle w:val="Normal"/>
        <w:bidi w:val="0"/>
        <w:jc w:val="both"/>
        <w:rPr>
          <w:rFonts w:ascii="Times New Roman" w:hAnsi="Times New Roman"/>
          <w:sz w:val="24"/>
        </w:rPr>
      </w:pPr>
      <w:r>
        <w:rPr>
          <w:rFonts w:ascii="Times New Roman" w:hAnsi="Times New Roman"/>
          <w:sz w:val="24"/>
        </w:rPr>
        <w:tab/>
        <w:tab/>
        <w:tab/>
        <w:tab/>
        <w:tab/>
        <w:tab/>
        <w:tab/>
      </w:r>
    </w:p>
    <w:p>
      <w:pPr>
        <w:pStyle w:val="Normal"/>
        <w:bidi w:val="0"/>
        <w:jc w:val="both"/>
        <w:rPr>
          <w:rFonts w:ascii="Times New Roman" w:hAnsi="Times New Roman"/>
          <w:sz w:val="24"/>
        </w:rPr>
      </w:pPr>
      <w:r>
        <w:rPr>
          <w:rFonts w:ascii="Times New Roman" w:hAnsi="Times New Roman"/>
          <w:b/>
          <w:sz w:val="24"/>
          <w:u w:val="single"/>
        </w:rPr>
        <w:t>Planning and Expansion (Function 7)</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end="720"/>
        <w:jc w:val="both"/>
        <w:rPr>
          <w:rFonts w:ascii="Times New Roman" w:hAnsi="Times New Roman"/>
          <w:sz w:val="24"/>
        </w:rPr>
      </w:pPr>
      <w:r>
        <w:rPr>
          <w:rFonts w:ascii="Times New Roman" w:hAnsi="Times New Roman"/>
          <w:b/>
          <w:sz w:val="24"/>
        </w:rPr>
        <w:tab/>
      </w:r>
      <w:r>
        <w:rPr>
          <w:rFonts w:ascii="WP TypographicSymbols" w:hAnsi="WP TypographicSymbols"/>
          <w:b/>
          <w:sz w:val="24"/>
        </w:rPr>
        <w:t></w:t>
      </w:r>
      <w:r>
        <w:rPr>
          <w:rFonts w:ascii="Times New Roman" w:hAnsi="Times New Roman"/>
          <w:b/>
          <w:sz w:val="24"/>
        </w:rPr>
        <w:t>    Generation Interconnection</w:t>
      </w:r>
      <w:r>
        <w:rPr>
          <w:rFonts w:ascii="Times New Roman" w:hAnsi="Times New Roman"/>
          <w:sz w:val="24"/>
        </w:rPr>
        <w:t xml:space="preserve">:    Aspects of the proposed generation interconnection procedures require clarification as to the priority of preexisting interconnection requests, payment of congestion, and cooperation of Participating Owners ("POs") with GridFlorida in constructing interconnection facilities.      </w:t>
      </w:r>
    </w:p>
    <w:p>
      <w:pPr>
        <w:pStyle w:val="Normal"/>
        <w:bidi w:val="0"/>
        <w:jc w:val="both"/>
        <w:rPr>
          <w:rFonts w:ascii="Times New Roman" w:hAnsi="Times New Roman"/>
          <w:sz w:val="24"/>
        </w:rPr>
      </w:pPr>
      <w:r>
        <w:rPr>
          <w:rFonts w:ascii="Times New Roman" w:hAnsi="Times New Roman"/>
          <w:sz w:val="24"/>
        </w:rPr>
        <w:tab/>
        <w:tab/>
        <w:tab/>
        <w:tab/>
        <w:tab/>
        <w:tab/>
        <w:tab/>
        <w:tab/>
        <w:tab/>
        <w:tab/>
        <w:tab/>
        <w:tab/>
      </w:r>
    </w:p>
    <w:p>
      <w:pPr>
        <w:pStyle w:val="Normal"/>
        <w:bidi w:val="0"/>
        <w:ind w:hanging="0" w:start="720" w:end="720"/>
        <w:jc w:val="both"/>
        <w:rPr>
          <w:rFonts w:ascii="Times New Roman" w:hAnsi="Times New Roman"/>
          <w:sz w:val="24"/>
        </w:rPr>
      </w:pPr>
      <w:r>
        <w:rPr>
          <w:rFonts w:ascii="Times New Roman" w:hAnsi="Times New Roman"/>
          <w:sz w:val="24"/>
        </w:rPr>
      </w:r>
    </w:p>
    <w:p>
      <w:pPr>
        <w:pStyle w:val="Normal"/>
        <w:bidi w:val="0"/>
        <w:spacing w:lineRule="atLeast" w:line="480"/>
        <w:jc w:val="both"/>
        <w:rPr>
          <w:rFonts w:ascii="Times New Roman" w:hAnsi="Times New Roman"/>
          <w:b/>
          <w:sz w:val="24"/>
        </w:rPr>
      </w:pPr>
      <w:r>
        <w:rPr>
          <w:rFonts w:ascii="Times New Roman" w:hAnsi="Times New Roman"/>
          <w:sz w:val="24"/>
        </w:rPr>
        <w:tab/>
        <w:t>EPMI understands that the GridFlorida proposal is in its early stages and the Applicants intend to submit an additional filing on December 15, 2000, which will provide further detail on several aspects of the RTO proposal.    In view of this planned additional filing and the ongoing collaborative stakeholder process, and consistent with the Commission's October 25 Supplemental Notice, EPMI reserves judgment on the deficiencies of the instant proposal, and provides suggestions on how the Applicants' can fix them in the next filing.    EPMI reserves its right to comment on and protest further the GridFlorida proposals presented in the Applicants' forthcoming filing.</w:t>
      </w:r>
    </w:p>
    <w:p>
      <w:pPr>
        <w:pStyle w:val="Normal"/>
        <w:bidi w:val="0"/>
        <w:spacing w:lineRule="atLeast" w:line="48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8"/>
        </w:rPr>
      </w:pPr>
      <w:r>
        <w:rPr>
          <w:rFonts w:ascii="Times New Roman" w:hAnsi="Times New Roman"/>
          <w:b/>
          <w:sz w:val="28"/>
        </w:rPr>
        <w:t>II.</w:t>
      </w:r>
    </w:p>
    <w:p>
      <w:pPr>
        <w:pStyle w:val="Normal"/>
        <w:bidi w:val="0"/>
        <w:jc w:val="center"/>
        <w:rPr>
          <w:rFonts w:ascii="Times New Roman" w:hAnsi="Times New Roman"/>
          <w:b/>
          <w:sz w:val="28"/>
        </w:rPr>
      </w:pPr>
      <w:r>
        <w:rPr>
          <w:rFonts w:ascii="Times New Roman" w:hAnsi="Times New Roman"/>
          <w:b/>
          <w:sz w:val="28"/>
        </w:rPr>
        <w:t xml:space="preserve">PRINCIPLES FOR EVALUATING &amp; FURTHER </w:t>
      </w:r>
    </w:p>
    <w:p>
      <w:pPr>
        <w:pStyle w:val="Normal"/>
        <w:bidi w:val="0"/>
        <w:jc w:val="center"/>
        <w:rPr>
          <w:rFonts w:ascii="Times New Roman" w:hAnsi="Times New Roman"/>
          <w:b/>
          <w:sz w:val="24"/>
        </w:rPr>
      </w:pPr>
      <w:r>
        <w:rPr>
          <w:rFonts w:ascii="Times New Roman" w:hAnsi="Times New Roman"/>
          <w:b/>
          <w:sz w:val="28"/>
        </w:rPr>
        <w:t>DEVELOPING GRIDFLORIDA</w:t>
      </w:r>
    </w:p>
    <w:p>
      <w:pPr>
        <w:pStyle w:val="Normal"/>
        <w:bidi w:val="0"/>
        <w:jc w:val="start"/>
        <w:rPr>
          <w:rFonts w:ascii="Times New Roman" w:hAnsi="Times New Roman"/>
          <w:b/>
          <w:sz w:val="24"/>
        </w:rPr>
      </w:pPr>
      <w:r>
        <w:rPr>
          <w:rFonts w:ascii="Times New Roman" w:hAnsi="Times New Roman"/>
          <w:b/>
          <w:sz w:val="24"/>
        </w:rPr>
      </w:r>
    </w:p>
    <w:p>
      <w:pPr>
        <w:pStyle w:val="Normal"/>
        <w:bidi w:val="0"/>
        <w:spacing w:lineRule="atLeast" w:line="480"/>
        <w:jc w:val="start"/>
        <w:rPr>
          <w:rFonts w:ascii="Times New Roman" w:hAnsi="Times New Roman"/>
          <w:sz w:val="24"/>
        </w:rPr>
      </w:pPr>
      <w:r>
        <w:rPr>
          <w:rFonts w:ascii="Times New Roman" w:hAnsi="Times New Roman"/>
          <w:sz w:val="24"/>
        </w:rPr>
        <w:tab/>
        <w:t>The Commission undertook its Order No. 2000 RTO initiative in order to provide the industry with a twenty-first century roadmap for finishing the business that it began in the open-access orders, Orders No. 888</w:t>
      </w:r>
      <w:r>
        <w:rPr>
          <w:rStyle w:val="FootnoteReference"/>
          <w:rFonts w:ascii="Times New Roman" w:hAnsi="Times New Roman"/>
          <w:sz w:val="24"/>
          <w:vertAlign w:val="superscript"/>
        </w:rPr>
        <w:footnoteReference w:id="3"/>
      </w:r>
      <w:r>
        <w:rPr>
          <w:rFonts w:ascii="Times New Roman" w:hAnsi="Times New Roman"/>
          <w:sz w:val="24"/>
        </w:rPr>
        <w:t xml:space="preserve"> and No. 889.</w:t>
      </w:r>
      <w:r>
        <w:rPr>
          <w:rStyle w:val="FootnoteReference"/>
          <w:rFonts w:ascii="Times New Roman" w:hAnsi="Times New Roman"/>
          <w:sz w:val="24"/>
          <w:vertAlign w:val="superscript"/>
        </w:rPr>
        <w:footnoteReference w:id="4"/>
      </w:r>
      <w:r>
        <w:rPr>
          <w:rFonts w:ascii="Times New Roman" w:hAnsi="Times New Roman"/>
          <w:sz w:val="24"/>
        </w:rPr>
        <w:t>    That business is the orderly transition from closed power markets of regulated monopolies to a competitive national market that is open to entry and capable of supporting robust competition in wholesale, bulk power markets and, where permitted by state authorities, in retail markets as well.    Completing this transition must be a high priority.    Lingering in the transition perpetuates, and projects into the competitive sectors,    the continued market power of the incumbent regulated monopolies; that, in turn, produces unregulated monopolies and unrestrained market power.</w:t>
      </w:r>
    </w:p>
    <w:p>
      <w:pPr>
        <w:pStyle w:val="Normal"/>
        <w:bidi w:val="0"/>
        <w:spacing w:lineRule="atLeast" w:line="480"/>
        <w:jc w:val="start"/>
        <w:rPr>
          <w:rFonts w:ascii="Times New Roman" w:hAnsi="Times New Roman"/>
          <w:sz w:val="24"/>
        </w:rPr>
      </w:pPr>
      <w:r>
        <w:rPr>
          <w:rFonts w:ascii="Times New Roman" w:hAnsi="Times New Roman"/>
          <w:sz w:val="24"/>
        </w:rPr>
        <w:tab/>
        <w:t>Order No. 2000 rightly targeted two obstacles standing in the way of the transition.    First is the lack of market mechanisms in place that are essential to achieving both economic and engineering efficiencies.    To remove this barrier, transmission system operators need to offer new services that are required to support new entry and equal access to markets.    Also targeted is the incentive of transmission owners to resist new market mechanisms and instead use their control over the grid to favor their own and affiliated power sellers and, at the same time, deter new entrants.    Indeed, in all three Orders — No. 888, No. 889 and No. 2000 — the Commission emphasized (as have many others</w:t>
      </w:r>
      <w:r>
        <w:rPr>
          <w:rStyle w:val="FootnoteReference"/>
          <w:rFonts w:ascii="Times New Roman" w:hAnsi="Times New Roman"/>
          <w:sz w:val="24"/>
          <w:vertAlign w:val="superscript"/>
        </w:rPr>
        <w:footnoteReference w:id="5"/>
      </w:r>
      <w:r>
        <w:rPr>
          <w:rFonts w:ascii="Times New Roman" w:hAnsi="Times New Roman"/>
          <w:sz w:val="24"/>
        </w:rPr>
        <w:t xml:space="preserve">) that under the historical, vertically integrated utility model, incumbent transmission owners have an inherent </w:t>
      </w:r>
      <w:r>
        <w:rPr>
          <w:rFonts w:ascii="Times New Roman" w:hAnsi="Times New Roman"/>
          <w:i/>
          <w:sz w:val="24"/>
        </w:rPr>
        <w:t xml:space="preserve">incentive and ability </w:t>
      </w:r>
      <w:r>
        <w:rPr>
          <w:rFonts w:ascii="Times New Roman" w:hAnsi="Times New Roman"/>
          <w:sz w:val="24"/>
        </w:rPr>
        <w:t>to discriminate against new entry and new entrants into their monopoly markets.</w:t>
      </w:r>
    </w:p>
    <w:p>
      <w:pPr>
        <w:pStyle w:val="Normal"/>
        <w:bidi w:val="0"/>
        <w:spacing w:lineRule="atLeast" w:line="480"/>
        <w:jc w:val="start"/>
        <w:rPr>
          <w:rFonts w:ascii="Times New Roman" w:hAnsi="Times New Roman"/>
          <w:sz w:val="24"/>
        </w:rPr>
      </w:pPr>
      <w:r>
        <w:rPr>
          <w:rFonts w:ascii="Times New Roman" w:hAnsi="Times New Roman"/>
          <w:sz w:val="24"/>
        </w:rPr>
        <w:tab/>
        <w:t xml:space="preserve">GridFlorida must be evaluated, and its compliance with Order No. 2000 must ultimately be judged by how well it would put in place market mechanisms that are essential to achieving both economic and engineering efficiencies and would rid the industry of both the incentive and ability of incumbents to discriminate and prevent new entry in the energy and capacity markets.    </w:t>
      </w:r>
    </w:p>
    <w:p>
      <w:pPr>
        <w:pStyle w:val="Normal"/>
        <w:bidi w:val="0"/>
        <w:jc w:val="start"/>
        <w:rPr>
          <w:rFonts w:ascii="Times New Roman" w:hAnsi="Times New Roman"/>
          <w:sz w:val="26"/>
        </w:rPr>
      </w:pPr>
      <w:r>
        <w:rPr>
          <w:rFonts w:ascii="Times New Roman" w:hAnsi="Times New Roman"/>
          <w:sz w:val="26"/>
        </w:rPr>
      </w:r>
    </w:p>
    <w:p>
      <w:pPr>
        <w:sectPr>
          <w:headerReference w:type="even" r:id="rId2"/>
          <w:headerReference w:type="default" r:id="rId3"/>
          <w:headerReference w:type="first" r:id="rId4"/>
          <w:footnotePr>
            <w:numFmt w:val="decimal"/>
            <w:numRestart w:val="eachSect"/>
          </w:footnotePr>
          <w:type w:val="nextPage"/>
          <w:pgSz w:w="12240" w:h="15840"/>
          <w:pgMar w:left="1440" w:right="1440" w:gutter="0" w:header="1440" w:top="1497" w:footer="0" w:bottom="1440"/>
          <w:pgNumType w:fmt="decimal"/>
          <w:formProt w:val="false"/>
          <w:titlePg/>
          <w:textDirection w:val="lrTb"/>
          <w:docGrid w:type="default" w:linePitch="600" w:charSpace="40960"/>
        </w:sectPr>
      </w:pPr>
    </w:p>
    <w:p>
      <w:pPr>
        <w:pStyle w:val="1AutoList1"/>
        <w:tabs>
          <w:tab w:val="left" w:pos="720" w:leader="none"/>
          <w:tab w:val="left" w:pos="1440" w:leader="none"/>
        </w:tabs>
        <w:bidi w:val="0"/>
        <w:spacing w:lineRule="auto" w:line="240"/>
        <w:ind w:hanging="1440" w:start="1440"/>
        <w:jc w:val="start"/>
        <w:rPr>
          <w:rFonts w:ascii="Times New Roman" w:hAnsi="Times New Roman"/>
          <w:b/>
          <w:i/>
          <w:i/>
        </w:rPr>
      </w:pPr>
      <w:r>
        <w:rPr>
          <w:rFonts w:ascii="Times New Roman" w:hAnsi="Times New Roman"/>
          <w:b/>
          <w:i/>
          <w:sz w:val="26"/>
        </w:rPr>
        <w:tab/>
        <w:t xml:space="preserve">Market Mechanisms Essential to RTO Achieving Economic &amp; Engineering Efficiencies </w:t>
      </w:r>
    </w:p>
    <w:p>
      <w:pPr>
        <w:pStyle w:val="Normal"/>
        <w:bidi w:val="0"/>
        <w:jc w:val="start"/>
        <w:rPr>
          <w:rFonts w:ascii="Times New Roman" w:hAnsi="Times New Roman"/>
          <w:b/>
          <w:i/>
          <w:i/>
          <w:sz w:val="24"/>
        </w:rPr>
      </w:pPr>
      <w:r>
        <w:rPr>
          <w:rFonts w:ascii="Times New Roman" w:hAnsi="Times New Roman"/>
          <w:b/>
          <w:i/>
          <w:sz w:val="24"/>
        </w:rPr>
        <w:tab/>
      </w:r>
    </w:p>
    <w:p>
      <w:pPr>
        <w:pStyle w:val="Normal"/>
        <w:bidi w:val="0"/>
        <w:spacing w:lineRule="atLeast" w:line="480"/>
        <w:jc w:val="start"/>
        <w:rPr>
          <w:rFonts w:ascii="Times New Roman" w:hAnsi="Times New Roman"/>
          <w:sz w:val="24"/>
        </w:rPr>
      </w:pPr>
      <w:r>
        <w:rPr>
          <w:rFonts w:ascii="Times New Roman" w:hAnsi="Times New Roman"/>
          <w:b/>
          <w:i/>
          <w:sz w:val="24"/>
        </w:rPr>
        <w:tab/>
      </w:r>
      <w:r>
        <w:rPr>
          <w:rFonts w:ascii="Times New Roman" w:hAnsi="Times New Roman"/>
          <w:sz w:val="24"/>
        </w:rPr>
        <w:t>With regard to essential market mechanisms, GridFlorida needs to be further developed    so that it is capable of offering the following: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pStyle w:val="Normal"/>
        <w:bidi w:val="0"/>
        <w:spacing w:lineRule="atLeast" w:line="480"/>
        <w:jc w:val="start"/>
        <w:rPr>
          <w:rFonts w:ascii="Times New Roman" w:hAnsi="Times New Roman"/>
          <w:sz w:val="24"/>
        </w:rPr>
      </w:pPr>
      <w:r>
        <w:rPr>
          <w:rFonts w:ascii="Times New Roman" w:hAnsi="Times New Roman"/>
          <w:b/>
          <w:i/>
          <w:sz w:val="24"/>
        </w:rPr>
        <w:tab/>
        <w:t>1.          A Market Mechanism for Managing Transmission Grid Congestion</w:t>
      </w:r>
      <w:r>
        <w:rPr>
          <w:rFonts w:ascii="Times New Roman" w:hAnsi="Times New Roman"/>
          <w:i/>
          <w:sz w:val="24"/>
        </w:rPr>
        <w:t xml:space="preserve">— </w:t>
      </w:r>
      <w:r>
        <w:rPr>
          <w:rFonts w:ascii="Times New Roman" w:hAnsi="Times New Roman"/>
          <w:sz w:val="24"/>
        </w:rPr>
        <w:t xml:space="preserve">GridFlorida appears to contemplate a market mechanism for managing congestion.    Essential here is that the market mechanism both provide an economic valuation of scarce transmission capacity </w:t>
      </w:r>
      <w:r>
        <w:rPr>
          <w:rFonts w:ascii="Times New Roman" w:hAnsi="Times New Roman"/>
          <w:i/>
          <w:sz w:val="24"/>
        </w:rPr>
        <w:t>and</w:t>
      </w:r>
      <w:r>
        <w:rPr>
          <w:rFonts w:ascii="Times New Roman" w:hAnsi="Times New Roman"/>
          <w:sz w:val="24"/>
        </w:rPr>
        <w:t xml:space="preserve"> a type of right to congested transmission capacity that can be freely traded, together with, or independent of, energy in forward markets for energy and capacity.    The first part of this equation requires that the market valuation of the right to use scarce transmission capacity occur sufficiently far in advance of real-time operations so that price signals can be sent over horizons that are sufficiently long (surely longer than one hour or one day) as to allow buyers and sellers to respond with decisions that are economically efficient.    As to the type of right that will best support a market, it is an option that must be exercised or it will be lost.    This prevents hoarding, which could be used to disadvantage competitors and which, in any event, deprives the market of liquidity.    An option type of right contrasts with the type of right that does not have to be exercised, but which rather entitles its holder to a revenue stream whether the holder uses it or not.    This latter type of right should be avoided because it can reward and does not punish hoarding.</w:t>
      </w:r>
    </w:p>
    <w:p>
      <w:pPr>
        <w:pStyle w:val="Normal"/>
        <w:bidi w:val="0"/>
        <w:spacing w:lineRule="atLeast" w:line="480"/>
        <w:jc w:val="start"/>
        <w:rPr>
          <w:rFonts w:ascii="Times New Roman" w:hAnsi="Times New Roman"/>
          <w:sz w:val="24"/>
        </w:rPr>
      </w:pPr>
      <w:r>
        <w:rPr>
          <w:rFonts w:ascii="Times New Roman" w:hAnsi="Times New Roman"/>
          <w:sz w:val="24"/>
        </w:rPr>
        <w:tab/>
        <w:t>GridFlorida' market mechanism is a physical transmission right ("PTR"), which would function as an option. All of the market benefits of PTRs depend critically on their being made available pursuant to a market mechanism, such as a periodic auction, bilateral trading or both.    GridFlorida's instant proposal fails to do this, but instead would allocate PTRs pursuant to an administrative (non-economic) allocation, which defeats any market valuation of congestion.</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r>
      <w:r>
        <w:rPr>
          <w:rFonts w:ascii="Times New Roman" w:hAnsi="Times New Roman"/>
          <w:b/>
          <w:i/>
          <w:sz w:val="24"/>
        </w:rPr>
        <w:t>3.        Information Service —</w:t>
      </w:r>
      <w:r>
        <w:rPr>
          <w:rFonts w:ascii="Times New Roman" w:hAnsi="Times New Roman"/>
          <w:sz w:val="24"/>
        </w:rPr>
        <w:t>GridFlorida should offer to the market constantly updated information on hourly forecasted load and generation that has been offered to the RTO in an hour for balancing demand and supply in real-time operations.    This will serve to provide both supply and demand resources with hourly demand and supply curves.    Economically efficient behavior by market participants depends critically on access to this information, which can come only from the RTO.    Engineering efficiency also requires that this information be communicated continuously, up until real-time operations begin, back and forth between the operators of not-otherwise committed resources and the RTO so that the RTO can select those resources that best address an imbalance in real time.</w:t>
      </w:r>
    </w:p>
    <w:p>
      <w:pPr>
        <w:pStyle w:val="Normal"/>
        <w:bidi w:val="0"/>
        <w:spacing w:lineRule="atLeast" w:line="480"/>
        <w:jc w:val="start"/>
        <w:rPr>
          <w:rFonts w:ascii="Times New Roman" w:hAnsi="Times New Roman"/>
          <w:sz w:val="24"/>
        </w:rPr>
      </w:pPr>
      <w:r>
        <w:rPr>
          <w:rFonts w:ascii="Times New Roman" w:hAnsi="Times New Roman"/>
          <w:sz w:val="24"/>
        </w:rPr>
        <w:tab/>
        <w:t xml:space="preserve">In addition to forecast load and generation bids, GridFlorida should also be responsible for providing other information that significantly impacts hourly demand and supply curves.    This should include information on scheduled and unscheduled outages and interchange inadvertence.    </w:t>
      </w:r>
    </w:p>
    <w:p>
      <w:pPr>
        <w:pStyle w:val="Normal"/>
        <w:bidi w:val="0"/>
        <w:spacing w:lineRule="atLeast" w:line="480"/>
        <w:jc w:val="start"/>
        <w:rPr>
          <w:rFonts w:ascii="Times New Roman" w:hAnsi="Times New Roman"/>
          <w:sz w:val="24"/>
        </w:rPr>
      </w:pPr>
      <w:r>
        <w:rPr>
          <w:rFonts w:ascii="Times New Roman" w:hAnsi="Times New Roman"/>
          <w:sz w:val="24"/>
        </w:rPr>
        <w:tab/>
        <w:t>It is critically important that    GridFlorida provide to the public all of this information as soon as it is available.    Failure to do so risks creating short-term, but effective, market power by the limited universe of those in possession of it.</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r>
      <w:r>
        <w:rPr>
          <w:rFonts w:ascii="Times New Roman" w:hAnsi="Times New Roman"/>
          <w:b/>
          <w:i/>
          <w:sz w:val="24"/>
        </w:rPr>
        <w:t>4.          Energy Balancing Market</w:t>
      </w:r>
      <w:r>
        <w:rPr>
          <w:rFonts w:ascii="Times New Roman" w:hAnsi="Times New Roman"/>
          <w:sz w:val="24"/>
        </w:rPr>
        <w:t xml:space="preserve"> — Rather than adopting an inflexible and commercially hostile requirement that energy schedules be balanced, GridFlorida should offer a real-time balancing service.    Pursuant to this service, the scheduler commits to pay the RTO's cost and the RTO commits to balancing schedules that are unbalanced.    Access to such a service, which only the operator can provide in real time, is critically important to the development of both supply and demand liquidity, which, in turn, is essential to economic efficiency.    </w:t>
      </w:r>
    </w:p>
    <w:p>
      <w:pPr>
        <w:pStyle w:val="Normal"/>
        <w:bidi w:val="0"/>
        <w:spacing w:lineRule="atLeast" w:line="480"/>
        <w:jc w:val="start"/>
        <w:rPr>
          <w:rFonts w:ascii="Times New Roman" w:hAnsi="Times New Roman"/>
          <w:sz w:val="24"/>
        </w:rPr>
      </w:pPr>
      <w:r>
        <w:rPr>
          <w:rFonts w:ascii="Times New Roman" w:hAnsi="Times New Roman"/>
          <w:sz w:val="24"/>
        </w:rPr>
        <w:tab/>
        <w:t>The charges for this flexibility should not be set (as they sometimes are) with the intention of punishing unbalanced schedulers.    Rather, the price should reflect the locational and temporal price of the energy that the RTO must take in connection with a positive imbalance or the locational and temporal price of the energy that the RTO must provide in the case of a negative imbalance.    These locational prices should be determined in a manner that is both accurate and efficient, without resort to comparing hundreds (or in the enlarged market of an RTO, possibly thousands) of nodal combinations.    Rather, the locational prices should be set on the basis of price zones, comprising multiple nodes of equal or near equal price.</w:t>
      </w:r>
    </w:p>
    <w:p>
      <w:pPr>
        <w:pStyle w:val="Normal"/>
        <w:bidi w:val="0"/>
        <w:spacing w:lineRule="atLeast" w:line="480"/>
        <w:jc w:val="start"/>
        <w:rPr>
          <w:rFonts w:ascii="Times New Roman" w:hAnsi="Times New Roman"/>
          <w:i/>
          <w:i/>
          <w:sz w:val="24"/>
        </w:rPr>
      </w:pPr>
      <w:r>
        <w:rPr>
          <w:rFonts w:ascii="Times New Roman" w:hAnsi="Times New Roman"/>
          <w:i/>
          <w:sz w:val="24"/>
        </w:rPr>
        <w:tab/>
        <w:tab/>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pStyle w:val="1AutoList1"/>
        <w:tabs>
          <w:tab w:val="left" w:pos="720" w:leader="none"/>
          <w:tab w:val="left" w:pos="1440" w:leader="none"/>
        </w:tabs>
        <w:bidi w:val="0"/>
        <w:spacing w:lineRule="auto" w:line="240"/>
        <w:ind w:hanging="1440" w:start="1440"/>
        <w:jc w:val="start"/>
        <w:rPr>
          <w:rFonts w:ascii="Times New Roman" w:hAnsi="Times New Roman"/>
        </w:rPr>
      </w:pPr>
      <w:r>
        <w:rPr>
          <w:rFonts w:ascii="Times New Roman" w:hAnsi="Times New Roman"/>
          <w:b/>
          <w:i/>
          <w:sz w:val="26"/>
        </w:rPr>
        <w:tab/>
        <w:t>Steps Essential to Eliminating the Incentive and Ability to Discriminate</w:t>
      </w:r>
    </w:p>
    <w:p>
      <w:pPr>
        <w:pStyle w:val="Normal"/>
        <w:bidi w:val="0"/>
        <w:jc w:val="start"/>
        <w:rPr>
          <w:rFonts w:ascii="Times New Roman" w:hAnsi="Times New Roman"/>
          <w:sz w:val="24"/>
        </w:rPr>
      </w:pPr>
      <w:r>
        <w:rPr>
          <w:rFonts w:ascii="Times New Roman" w:hAnsi="Times New Roman"/>
          <w:sz w:val="24"/>
        </w:rPr>
        <w:tab/>
      </w:r>
    </w:p>
    <w:p>
      <w:pPr>
        <w:pStyle w:val="Normal"/>
        <w:bidi w:val="0"/>
        <w:spacing w:lineRule="atLeast" w:line="480"/>
        <w:jc w:val="start"/>
        <w:rPr>
          <w:rFonts w:ascii="Times New Roman" w:hAnsi="Times New Roman"/>
          <w:sz w:val="24"/>
        </w:rPr>
      </w:pPr>
      <w:r>
        <w:rPr>
          <w:rFonts w:ascii="Times New Roman" w:hAnsi="Times New Roman"/>
          <w:sz w:val="24"/>
        </w:rPr>
        <w:tab/>
        <w:t>With regard to the elimination of the incentive and ability of transmission monopolists to discriminate and otherwise prevent new entry, GridFlorida's fails to undertake the required changes to the status quo.</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r>
      <w:r>
        <w:rPr>
          <w:rFonts w:ascii="Times New Roman" w:hAnsi="Times New Roman"/>
          <w:b/>
          <w:i/>
          <w:sz w:val="24"/>
        </w:rPr>
        <w:t>1.          Place All Uses of the Regional Grid on the Same Regional Transmission Tariff, Subject to the Same Rules of the Road —</w:t>
      </w:r>
      <w:r>
        <w:rPr>
          <w:rFonts w:ascii="Times New Roman" w:hAnsi="Times New Roman"/>
          <w:sz w:val="24"/>
        </w:rPr>
        <w:t xml:space="preserve"> GridFlorida proposes to place all uses of the regional transmission grid under the RTO tariff.    Universal applicability of the regional tariff must be extended to rights that must be held in order to obtain service from the RTO.    In the case of Grid Florida, these are the PTRs.    Having PTRs is tantamount to having access to regional transmission.    They must be available to all shippers on the same basis, pursuant to the same market mechanisms.    As explained below, this is not currently part of GridFlorida's proposal.</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r>
      <w:r>
        <w:rPr>
          <w:rFonts w:ascii="Times New Roman" w:hAnsi="Times New Roman"/>
          <w:b/>
          <w:i/>
          <w:sz w:val="24"/>
        </w:rPr>
        <w:t>2.          Require Subordinate RTO's to Relinquish to the RTO Their    Commercially Valuable Control over Scheduling and Settlements —</w:t>
      </w:r>
      <w:r>
        <w:rPr>
          <w:rFonts w:ascii="Times New Roman" w:hAnsi="Times New Roman"/>
          <w:sz w:val="24"/>
        </w:rPr>
        <w:t xml:space="preserve"> Ideally, all control areas operating within the RTO's boundaries should be eliminated and their functions and responsibilities transferred to the RTO.    A single control area must be the endgame.      EPMI recognizes that a transition may be necessary during which existing control areas cede some of their authority and responsibilities to GridFlorida, but otherwise continue to operate as RTO subordinates in an hierarchical structure.    It is anachronistic and unduly discriminatory for subordinate control areas to continue to exercise authorities that give them commercial advantages that they discriminatorily deny to their    power supply competitors.    </w:t>
      </w:r>
    </w:p>
    <w:p>
      <w:pPr>
        <w:pStyle w:val="Normal"/>
        <w:bidi w:val="0"/>
        <w:spacing w:lineRule="atLeast" w:line="480"/>
        <w:jc w:val="start"/>
        <w:rPr>
          <w:rFonts w:ascii="Times New Roman" w:hAnsi="Times New Roman"/>
          <w:sz w:val="24"/>
        </w:rPr>
      </w:pPr>
      <w:r>
        <w:rPr>
          <w:rFonts w:ascii="Times New Roman" w:hAnsi="Times New Roman"/>
          <w:sz w:val="24"/>
        </w:rPr>
        <w:tab/>
        <w:t>The concept of a control area grew out of the North American Electric Reliability Council ("NERC") and its rules for balancing interchange power flows between control areas.    In order to achieve balance essential for reliability, control areas historically have performed certain functions and fulfilled certain responsibilities.    These included responsibility for area control error ("ACE"), receiving and executing scheduled transactions, and settling inadvertent (unbalanced) power flows between themselves and other control areas.    In a recent White Paper, a Task Force of NERC has recognized that a control area operator's retention of authority over scheduling and the settlement of inadvertence confers unintended commercial benefits on the control area operator vis-à-vis its power supply competitors.    Specifically, control areas exercise their control over scheduling to allow themselves to schedule power into the control area before knowing and identifying its ultimate destination — a practice referred to as hubbing — and their control over settlements to allow themselves to elect when to settle inadvertence and whether to do so in cash or in kind.</w:t>
      </w:r>
      <w:r>
        <w:rPr>
          <w:rStyle w:val="FootnoteReference"/>
          <w:rFonts w:ascii="Times New Roman" w:hAnsi="Times New Roman"/>
          <w:sz w:val="24"/>
          <w:vertAlign w:val="superscript"/>
        </w:rPr>
        <w:footnoteReference w:id="6"/>
      </w:r>
      <w:r>
        <w:rPr>
          <w:rFonts w:ascii="Times New Roman" w:hAnsi="Times New Roman"/>
          <w:sz w:val="24"/>
        </w:rPr>
        <w:t>    Both practices confer enormous commercial flexibility on the control area and its affiliates in the power supply area; flexibility that they deny to all of their non-vertically integrated competitors.</w:t>
      </w:r>
    </w:p>
    <w:p>
      <w:pPr>
        <w:pStyle w:val="Normal"/>
        <w:bidi w:val="0"/>
        <w:spacing w:lineRule="atLeast" w:line="480"/>
        <w:jc w:val="start"/>
        <w:rPr>
          <w:rFonts w:ascii="Times New Roman" w:hAnsi="Times New Roman"/>
          <w:b/>
          <w:sz w:val="24"/>
        </w:rPr>
      </w:pPr>
      <w:r>
        <w:rPr>
          <w:rFonts w:ascii="Times New Roman" w:hAnsi="Times New Roman"/>
          <w:sz w:val="24"/>
        </w:rPr>
        <w:tab/>
        <w:t>At a minimum, to eliminate these discriminatory advantages, to the extent that GridFlorida retains subordinate control areas, it should be required to have those subordinate control areas relinquish to the RTO all responsibility for transaction scheduling and settling inadvertence.    GridFlorida should then be required to offer the same scheduling flexibility in terms of hubbing and the same settlement flexibility to all shippers on the regional grid.</w:t>
      </w:r>
    </w:p>
    <w:p>
      <w:pPr>
        <w:pStyle w:val="Normal"/>
        <w:bidi w:val="0"/>
        <w:spacing w:lineRule="atLeast" w:line="48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8"/>
        </w:rPr>
      </w:pPr>
      <w:r>
        <w:rPr>
          <w:rFonts w:ascii="Times New Roman" w:hAnsi="Times New Roman"/>
          <w:b/>
          <w:sz w:val="24"/>
        </w:rPr>
        <w:tab/>
        <w:tab/>
      </w:r>
      <w:r>
        <w:rPr>
          <w:rFonts w:ascii="Times New Roman" w:hAnsi="Times New Roman"/>
          <w:b/>
          <w:sz w:val="28"/>
        </w:rPr>
        <w:t>III.</w:t>
      </w:r>
    </w:p>
    <w:p>
      <w:pPr>
        <w:pStyle w:val="Normal"/>
        <w:bidi w:val="0"/>
        <w:jc w:val="center"/>
        <w:rPr>
          <w:rFonts w:ascii="Times New Roman" w:hAnsi="Times New Roman"/>
          <w:sz w:val="24"/>
        </w:rPr>
      </w:pPr>
      <w:r>
        <w:rPr>
          <w:rFonts w:ascii="Times New Roman" w:hAnsi="Times New Roman"/>
          <w:b/>
          <w:sz w:val="28"/>
        </w:rPr>
        <w:t>PROTEST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b/>
          <w:i/>
          <w:sz w:val="24"/>
        </w:rPr>
        <w:tab/>
        <w:t>A.</w:t>
        <w:tab/>
        <w:t>GridFlorida's Proposal to Grandfather Native Load and Pre-Existing Contracts Fails to Achieve Economic Efficiencies and Results in No Market</w:t>
      </w: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GridFlorida should be directed to make PTRs available through a market mechanism.    The proposed PTRs, if offered to market participants in an open market — for example through periodic auctions and, between auctions, through bilateral trading — could produce a high level of allocative efficiency.    Rights to constrained transmission would be appropriately valued in relation to generation and would be distributed to the highest valued uses.    In addition to productive efficiency, this is precisely the type of allocative efficiency that a market mechanism for congestion management should produce.</w:t>
      </w:r>
    </w:p>
    <w:p>
      <w:pPr>
        <w:pStyle w:val="Normal"/>
        <w:bidi w:val="0"/>
        <w:spacing w:lineRule="atLeast" w:line="480"/>
        <w:jc w:val="start"/>
        <w:rPr>
          <w:rFonts w:ascii="Times New Roman" w:hAnsi="Times New Roman"/>
          <w:sz w:val="24"/>
        </w:rPr>
      </w:pPr>
      <w:r>
        <w:rPr>
          <w:rFonts w:ascii="Times New Roman" w:hAnsi="Times New Roman"/>
          <w:sz w:val="24"/>
        </w:rPr>
        <w:tab/>
        <w:t>The GridFlorida RTO proposal is near fatally flawed in how it proposes to make PTRs available.    Rather than rely on market mechanisms, it proposes instead to allocate them through administrative processes to incumbent utilities and certain per-existing customers.    This will prevent the PTRs from reflecting the relative market value of transmission versus generation over any economically significant time frames.    Indeed, it will offer only a glimpse of market values in the short-term secondary market in which those who receive an administrative allocation can release PTRs.    If the PTRs are to be deprived of any market valuation in this fashion, then the PTRs will be useful only for clearing imbalances.</w:t>
      </w:r>
      <w:r>
        <w:rPr>
          <w:rStyle w:val="FootnoteReference"/>
          <w:rFonts w:ascii="Times New Roman" w:hAnsi="Times New Roman"/>
          <w:sz w:val="24"/>
          <w:vertAlign w:val="superscript"/>
        </w:rPr>
        <w:footnoteReference w:id="7"/>
      </w:r>
      <w:r>
        <w:rPr>
          <w:rFonts w:ascii="Times New Roman" w:hAnsi="Times New Roman"/>
          <w:sz w:val="24"/>
        </w:rPr>
        <w:t xml:space="preserve">    </w:t>
      </w:r>
    </w:p>
    <w:p>
      <w:pPr>
        <w:pStyle w:val="Normal"/>
        <w:bidi w:val="0"/>
        <w:spacing w:lineRule="atLeast" w:line="480"/>
        <w:jc w:val="start"/>
        <w:rPr>
          <w:rFonts w:ascii="Times New Roman" w:hAnsi="Times New Roman"/>
          <w:sz w:val="24"/>
        </w:rPr>
      </w:pPr>
      <w:r>
        <w:rPr>
          <w:rFonts w:ascii="Times New Roman" w:hAnsi="Times New Roman"/>
          <w:sz w:val="24"/>
        </w:rPr>
        <w:tab/>
        <w:t>Further, administrative allocation, as proposed, will mean that only incumbents with captive load will own PTRs.    This will stand in the way of jurisdictions that elect to pursue retail competition.    In a competitive retail market, PTRs should be available to whomever needs to fulfill their obligations to serve load, and not merely to incumbents.</w:t>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pStyle w:val="Normal"/>
        <w:bidi w:val="0"/>
        <w:spacing w:lineRule="atLeast" w:line="480"/>
        <w:jc w:val="start"/>
        <w:rPr>
          <w:rFonts w:ascii="Times New Roman" w:hAnsi="Times New Roman"/>
          <w:sz w:val="24"/>
        </w:rPr>
      </w:pPr>
      <w:r>
        <w:rPr>
          <w:rFonts w:ascii="Times New Roman" w:hAnsi="Times New Roman"/>
          <w:sz w:val="24"/>
        </w:rPr>
        <w:tab/>
        <w:t xml:space="preserve">Acceptance of GridFlorida's RTO proposal should be made contingent on replacing the administrative allocation of PTRs with a process for marketing them through periodic auctions and bilateral trading. </w:t>
      </w:r>
    </w:p>
    <w:p>
      <w:pPr>
        <w:pStyle w:val="Normal"/>
        <w:bidi w:val="0"/>
        <w:jc w:val="start"/>
        <w:rPr>
          <w:rFonts w:ascii="Times New Roman" w:hAnsi="Times New Roman"/>
          <w:b/>
          <w:i/>
          <w:i/>
          <w:sz w:val="26"/>
        </w:rPr>
      </w:pPr>
      <w:r>
        <w:rPr>
          <w:rFonts w:ascii="Times New Roman" w:hAnsi="Times New Roman"/>
          <w:b/>
          <w:i/>
          <w:sz w:val="26"/>
        </w:rPr>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Pr>
    </w:p>
    <w:p>
      <w:pPr>
        <w:pStyle w:val="2AutoList1"/>
        <w:bidi w:val="0"/>
        <w:spacing w:lineRule="auto" w:line="240"/>
        <w:jc w:val="start"/>
        <w:rPr>
          <w:rFonts w:ascii="Times New Roman" w:hAnsi="Times New Roman"/>
          <w:b/>
          <w:i/>
          <w:i/>
        </w:rPr>
      </w:pPr>
      <w:r>
        <w:rPr>
          <w:rFonts w:ascii="Times New Roman" w:hAnsi="Times New Roman"/>
          <w:b/>
          <w:i/>
        </w:rPr>
        <w:t>Applicants Should Provide Transmission Customers with an Ex Post Energy    Balancing Market</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 xml:space="preserve">The Applicants' proposal does not offer transmission customers access to an ex post balancing market, where they can clear against oppositely imbalanced energy positions.    In the proposal, all Market Participants must clear imbalances through GridFlorida's imbalance energy clearing process at the real-time energy price determined by GridFlorida's dispatch of resources for balancing and congestion management.    </w:t>
      </w:r>
      <w:r>
        <w:rPr>
          <w:rFonts w:ascii="Times New Roman" w:hAnsi="Times New Roman"/>
          <w:i/>
          <w:sz w:val="24"/>
        </w:rPr>
        <w:t>Applicants' Transm. Ltr.</w:t>
      </w:r>
      <w:r>
        <w:rPr>
          <w:rFonts w:ascii="Times New Roman" w:hAnsi="Times New Roman"/>
          <w:sz w:val="24"/>
        </w:rPr>
        <w:t xml:space="preserve"> at 66-67.    GridFlorida will administer a settlements process once real time operations commence.    Market Design Specifications at 10.    Although the proposal is consistent with Order No. 2000, in that its real-time balancing market is developed and operated by the RTO using incremental and decremental supply bids, the proposal does not provide a market for participants to trade imbalances prior to the final settlement process administered by GridFlorida.    The proposal provides no settlement period for energy imbalances within which transmission customers can reduce their imbalance to zero prior to having to settle the imbalance with GridFlorida at the real-time zonal price.    Rather, the proposal simply provides, through GridFlorida, an accounting system for settling imbalances.    EPMI suggests that Applicants' further develop the energy balancing market proposal to include an ex post clearing mechanism for settling and trading of imbalances.</w:t>
      </w:r>
    </w:p>
    <w:p>
      <w:pPr>
        <w:pStyle w:val="Normal"/>
        <w:bidi w:val="0"/>
        <w:spacing w:lineRule="atLeast" w:line="480"/>
        <w:jc w:val="start"/>
        <w:rPr>
          <w:rFonts w:ascii="Times New Roman" w:hAnsi="Times New Roman"/>
          <w:sz w:val="24"/>
        </w:rPr>
      </w:pPr>
      <w:r>
        <w:rPr>
          <w:rFonts w:ascii="Times New Roman" w:hAnsi="Times New Roman"/>
          <w:sz w:val="24"/>
        </w:rPr>
        <w:tab/>
        <w:t xml:space="preserve">A transmission customer should be given no less than five days following the close of an hour of transmission service to locate another transmission customer that is reported on the GridFlorida open-access same-time information system ("OASIS") to be out of balance oppositely with respect to its schedule.    These transmission customers could then agree to clear against each other, in whole or in part, and report to the GridFlorida OASIS administrator that their imbalance has been reduced or eliminated.    For any imbalance not cleared in this manner at the end of five days (or longer period specified in the OATT), the transmission customer could then be assessed an imbalance charge equal to the real-time zonal price, as described in the proposed tariff.    The Applicants’ filing should be modified to include this market mechanism for settling imbalances. </w:t>
      </w:r>
    </w:p>
    <w:p>
      <w:pPr>
        <w:pStyle w:val="Normal"/>
        <w:bidi w:val="0"/>
        <w:jc w:val="start"/>
        <w:rPr>
          <w:rFonts w:ascii="Times New Roman" w:hAnsi="Times New Roman"/>
          <w:b/>
          <w:i/>
          <w:i/>
          <w:sz w:val="24"/>
        </w:rPr>
      </w:pPr>
      <w:r>
        <w:rPr>
          <w:rFonts w:ascii="Times New Roman" w:hAnsi="Times New Roman"/>
          <w:b/>
          <w:i/>
          <w:sz w:val="24"/>
        </w:rPr>
      </w:r>
    </w:p>
    <w:p>
      <w:pPr>
        <w:pStyle w:val="Normal"/>
        <w:tabs>
          <w:tab w:val="left" w:pos="720" w:leader="none"/>
          <w:tab w:val="left" w:pos="1440" w:leader="none"/>
        </w:tabs>
        <w:bidi w:val="0"/>
        <w:ind w:hanging="1440" w:start="1440"/>
        <w:jc w:val="start"/>
        <w:rPr>
          <w:rFonts w:ascii="Times New Roman" w:hAnsi="Times New Roman"/>
          <w:b/>
          <w:i/>
          <w:i/>
          <w:sz w:val="24"/>
        </w:rPr>
      </w:pPr>
      <w:r>
        <w:rPr>
          <w:rFonts w:ascii="Times New Roman" w:hAnsi="Times New Roman"/>
          <w:b/>
          <w:i/>
          <w:sz w:val="26"/>
        </w:rPr>
        <w:tab/>
        <w:t>C.</w:t>
        <w:tab/>
        <w:t xml:space="preserve">The Proposal Should Be Modified to Include a Five Sector Selection Committee and Specific Provisions Describing the Requisite Attributes and Qualifications of the Directors </w:t>
      </w:r>
    </w:p>
    <w:p>
      <w:pPr>
        <w:pStyle w:val="Normal"/>
        <w:bidi w:val="0"/>
        <w:jc w:val="start"/>
        <w:rPr>
          <w:rFonts w:ascii="Times New Roman" w:hAnsi="Times New Roman"/>
          <w:b/>
          <w:i/>
          <w:i/>
          <w:sz w:val="24"/>
        </w:rPr>
      </w:pPr>
      <w:r>
        <w:rPr>
          <w:rFonts w:ascii="Times New Roman" w:hAnsi="Times New Roman"/>
          <w:b/>
          <w:i/>
          <w:sz w:val="24"/>
        </w:rPr>
      </w:r>
    </w:p>
    <w:p>
      <w:pPr>
        <w:pStyle w:val="Normal"/>
        <w:bidi w:val="0"/>
        <w:spacing w:lineRule="atLeast" w:line="480"/>
        <w:jc w:val="start"/>
        <w:rPr>
          <w:rFonts w:ascii="Times New Roman" w:hAnsi="Times New Roman"/>
          <w:sz w:val="24"/>
        </w:rPr>
      </w:pPr>
      <w:r>
        <w:rPr>
          <w:rFonts w:ascii="Times New Roman" w:hAnsi="Times New Roman"/>
          <w:sz w:val="24"/>
        </w:rPr>
        <w:tab/>
        <w:t>GridFlorida's proposal for selection of the Board of Directors fails to satisfy the Commission's independence requirement because it is heavily weighted toward the utilities and is unclear on the appropriate criteria that will be used in selecting a pool of potential directors.    GridFlorida proposes to establish a Board Selection Committee ("Selection Committee") that will select the initial Board of Directors.    The Selection Committee will include one representative from each entity that has provided a notice to GridFlorida that it will divest its transmission facilities in exchange for passive ownership interests in GridFlorida.    If an entity doing business in Florida does not divest its facilities, one representative from each of the following stakeholder groups will be a part of the Selection Committee:    investor-owned utilities that own transmission facilities, but have not indicated that they will divest the facilities; electric utilities that distribute at retail; non-investor-owned utilities that sell electricity exclusively at wholesale; entities that own or are developing generation facilities; power marketers and brokers; and governmental or non-profit organizations that are not utilities.    RTO Formation Plan § 3.1.</w:t>
      </w:r>
    </w:p>
    <w:p>
      <w:pPr>
        <w:pStyle w:val="Normal"/>
        <w:bidi w:val="0"/>
        <w:spacing w:lineRule="atLeast" w:line="480"/>
        <w:jc w:val="start"/>
        <w:rPr>
          <w:rFonts w:ascii="Times New Roman" w:hAnsi="Times New Roman"/>
          <w:b/>
          <w:i/>
          <w:i/>
          <w:sz w:val="24"/>
        </w:rPr>
      </w:pPr>
      <w:r>
        <w:rPr>
          <w:rFonts w:ascii="Times New Roman" w:hAnsi="Times New Roman"/>
          <w:sz w:val="24"/>
        </w:rPr>
        <w:tab/>
        <w:t xml:space="preserve">The Selection Committee will select one of three specified nationally recognized executive search firms to propose a pool of eight candidates and four alternate candidates for election as initial Directors of GF, Inc.    </w:t>
      </w:r>
      <w:r>
        <w:rPr>
          <w:rFonts w:ascii="Times New Roman" w:hAnsi="Times New Roman"/>
          <w:i/>
          <w:sz w:val="24"/>
        </w:rPr>
        <w:t>Id.</w:t>
      </w:r>
      <w:r>
        <w:rPr>
          <w:rFonts w:ascii="Times New Roman" w:hAnsi="Times New Roman"/>
          <w:sz w:val="24"/>
        </w:rPr>
        <w:t xml:space="preserve"> § 3.3.    The search firm will select and consult with a nationally recognized investment banking firm concerning the qualifications of directors necessary to achieve various goals set out in the RTO Formation Plan.    </w:t>
      </w:r>
      <w:r>
        <w:rPr>
          <w:rFonts w:ascii="Times New Roman" w:hAnsi="Times New Roman"/>
          <w:i/>
          <w:sz w:val="24"/>
        </w:rPr>
        <w:t>Id.</w:t>
      </w:r>
      <w:r>
        <w:rPr>
          <w:rFonts w:ascii="Times New Roman" w:hAnsi="Times New Roman"/>
          <w:sz w:val="24"/>
        </w:rPr>
        <w:t xml:space="preserve"> § 3.2.</w:t>
      </w:r>
    </w:p>
    <w:p>
      <w:pPr>
        <w:pStyle w:val="Normal"/>
        <w:bidi w:val="0"/>
        <w:spacing w:lineRule="atLeast" w:line="480"/>
        <w:jc w:val="start"/>
        <w:rPr>
          <w:rFonts w:ascii="Times New Roman" w:hAnsi="Times New Roman"/>
          <w:sz w:val="24"/>
        </w:rPr>
      </w:pPr>
      <w:r>
        <w:rPr>
          <w:rFonts w:ascii="Times New Roman" w:hAnsi="Times New Roman"/>
          <w:b/>
          <w:i/>
          <w:sz w:val="24"/>
        </w:rPr>
        <w:tab/>
        <w:t>1.</w:t>
        <w:tab/>
        <w:t xml:space="preserve">Lack of Independence in Selection Committee — </w:t>
      </w:r>
      <w:r>
        <w:rPr>
          <w:rFonts w:ascii="Times New Roman" w:hAnsi="Times New Roman"/>
          <w:sz w:val="24"/>
        </w:rPr>
        <w:t xml:space="preserve">The procedure for determining the members of the Selection Committee is wholly-dependent upon how many of the transmission owners divest their facilities to GridFlorida.    As a result of this structure, the incumbent utilities still can assert control over the ultimate selection of the Board and other market participants are only represented on the Selection Committee to the extent that a transmission owner does not divest its facilities.    Because GridFlorida is a hybrid Transco — </w:t>
      </w:r>
      <w:r>
        <w:rPr>
          <w:rFonts w:ascii="Times New Roman" w:hAnsi="Times New Roman"/>
          <w:i/>
          <w:sz w:val="24"/>
        </w:rPr>
        <w:t>i.e.</w:t>
      </w:r>
      <w:r>
        <w:rPr>
          <w:rFonts w:ascii="Times New Roman" w:hAnsi="Times New Roman"/>
          <w:sz w:val="24"/>
        </w:rPr>
        <w:t>, it owns only part of its grid — it should be evaluated more along the lines of an independent system operator ("ISO"), which requires independence in the selection of the directors.    Accordingly, EPMI suggests that it is more appropriate for the Selection Committee to be composed of members that represent all sectors of the industry, similar to the governance structure used in PJM Interconnection, L.L.C. ("PJM") and approved by the Commission.</w:t>
      </w:r>
    </w:p>
    <w:p>
      <w:pPr>
        <w:pStyle w:val="Normal"/>
        <w:bidi w:val="0"/>
        <w:spacing w:lineRule="atLeast" w:line="480"/>
        <w:jc w:val="start"/>
        <w:rPr>
          <w:rFonts w:ascii="Times New Roman" w:hAnsi="Times New Roman"/>
          <w:b/>
          <w:i/>
          <w:i/>
          <w:sz w:val="24"/>
        </w:rPr>
      </w:pPr>
      <w:r>
        <w:rPr>
          <w:rFonts w:ascii="Times New Roman" w:hAnsi="Times New Roman"/>
          <w:sz w:val="24"/>
        </w:rPr>
        <w:tab/>
        <w:t xml:space="preserve">PJM's governance structure includes a Members Committee that consists of parties to the PJM Operating Agreement — the members of PJM.    </w:t>
      </w:r>
      <w:r>
        <w:rPr>
          <w:rFonts w:ascii="Times New Roman" w:hAnsi="Times New Roman"/>
          <w:i/>
          <w:sz w:val="24"/>
        </w:rPr>
        <w:t>See Pennsylvania-New Jersey-Maryland Interconnection</w:t>
      </w:r>
      <w:r>
        <w:rPr>
          <w:rFonts w:ascii="Times New Roman" w:hAnsi="Times New Roman"/>
          <w:sz w:val="24"/>
        </w:rPr>
        <w:t xml:space="preserve"> ("PJM"), 81 F.E.R.C. ¶ 61,257 at 62,262 (1997), </w:t>
      </w:r>
      <w:r>
        <w:rPr>
          <w:rFonts w:ascii="Times New Roman" w:hAnsi="Times New Roman"/>
          <w:i/>
          <w:sz w:val="24"/>
        </w:rPr>
        <w:t>clarified</w:t>
      </w:r>
      <w:r>
        <w:rPr>
          <w:rFonts w:ascii="Times New Roman" w:hAnsi="Times New Roman"/>
          <w:sz w:val="24"/>
        </w:rPr>
        <w:t xml:space="preserve">, 82 F.E.R.C. ¶ 61,068 (1998).    The PJM Members Committee is responsible for selecting the PJM Board of Directors and consists of five sectors representing generation owners, other suppliers, transmission owners, electric distributors, and end-use customers.    </w:t>
      </w:r>
      <w:r>
        <w:rPr>
          <w:rFonts w:ascii="Times New Roman" w:hAnsi="Times New Roman"/>
          <w:i/>
          <w:sz w:val="24"/>
        </w:rPr>
        <w:t>Id</w:t>
      </w:r>
      <w:r>
        <w:rPr>
          <w:rFonts w:ascii="Times New Roman" w:hAnsi="Times New Roman"/>
          <w:sz w:val="24"/>
        </w:rPr>
        <w:t xml:space="preserve">.    The Commission accepted this governance structure as providing for fair representation of the broadest possible users of the ISO, and emphasized that "ISO Principle No. 1 provides that a governance structure should fairly represent all users of the transmission system."    </w:t>
      </w:r>
      <w:r>
        <w:rPr>
          <w:rFonts w:ascii="Times New Roman" w:hAnsi="Times New Roman"/>
          <w:i/>
          <w:sz w:val="24"/>
        </w:rPr>
        <w:t>Id</w:t>
      </w:r>
      <w:r>
        <w:rPr>
          <w:rFonts w:ascii="Times New Roman" w:hAnsi="Times New Roman"/>
          <w:sz w:val="24"/>
        </w:rPr>
        <w:t xml:space="preserve">. at 62,263 (emphasis in original).    The Commission reiterated the importance of the independence principle in Order No. 2000.    </w:t>
      </w:r>
      <w:r>
        <w:rPr>
          <w:rFonts w:ascii="Times New Roman" w:hAnsi="Times New Roman"/>
          <w:i/>
          <w:sz w:val="24"/>
        </w:rPr>
        <w:t xml:space="preserve">Order No. 2000 </w:t>
      </w:r>
      <w:r>
        <w:rPr>
          <w:rFonts w:ascii="Times New Roman" w:hAnsi="Times New Roman"/>
          <w:sz w:val="24"/>
        </w:rPr>
        <w:t>at 31,047 (emphasizing independence as the "bedrock" upon which the ISO must be built and noting that this standard applies equally to RTOs, regardless of whether they are an ISO).    A governance structure formed in this manner will ensure that the Selection Committee does not benefit one stakeholder group over another.</w:t>
      </w:r>
    </w:p>
    <w:p>
      <w:pPr>
        <w:pStyle w:val="Normal"/>
        <w:bidi w:val="0"/>
        <w:spacing w:lineRule="atLeast" w:line="480"/>
        <w:jc w:val="start"/>
        <w:rPr>
          <w:rFonts w:ascii="Times New Roman" w:hAnsi="Times New Roman"/>
          <w:sz w:val="24"/>
        </w:rPr>
      </w:pPr>
      <w:r>
        <w:rPr>
          <w:rFonts w:ascii="Times New Roman" w:hAnsi="Times New Roman"/>
          <w:b/>
          <w:i/>
          <w:sz w:val="24"/>
        </w:rPr>
        <w:tab/>
        <w:t>2.</w:t>
        <w:tab/>
        <w:t xml:space="preserve">Clarification on Appropriate Attributes for Directors — </w:t>
      </w:r>
      <w:r>
        <w:rPr>
          <w:rFonts w:ascii="Times New Roman" w:hAnsi="Times New Roman"/>
          <w:sz w:val="24"/>
        </w:rPr>
        <w:t xml:space="preserve">In addition to necessary stakeholder representation in the selection of the Board, the Selection Committee also should be provided more guidance on the appropriate attributes and competencies required of a Director.    In PJM, the Commission noted that the PJM Board members are required to have several specific attributes.    </w:t>
      </w:r>
      <w:r>
        <w:rPr>
          <w:rFonts w:ascii="Times New Roman" w:hAnsi="Times New Roman"/>
          <w:i/>
          <w:sz w:val="24"/>
        </w:rPr>
        <w:t>PJM</w:t>
      </w:r>
      <w:r>
        <w:rPr>
          <w:rFonts w:ascii="Times New Roman" w:hAnsi="Times New Roman"/>
          <w:sz w:val="24"/>
        </w:rPr>
        <w:t xml:space="preserve">, 81 F.E.R.C. at 62,262.    Four PJM Board members are required to have expertise and experience in corporate leadership at the senior management (or board of directors) level, or in the professional disciplines of finance, accounting, engineering or utility law and regulation.    </w:t>
      </w:r>
      <w:r>
        <w:rPr>
          <w:rFonts w:ascii="Times New Roman" w:hAnsi="Times New Roman"/>
          <w:i/>
          <w:sz w:val="24"/>
        </w:rPr>
        <w:t>Id</w:t>
      </w:r>
      <w:r>
        <w:rPr>
          <w:rFonts w:ascii="Times New Roman" w:hAnsi="Times New Roman"/>
          <w:sz w:val="24"/>
        </w:rPr>
        <w:t xml:space="preserve">.    The remaining three PJM Board members must have expertise and experience in the operation of transmission dependent utilities, one with expertise and experience in the operation or planning of transmission systems, and one with expertise and experience in the areas of commercial markets and trading, including associated risk management.    </w:t>
      </w:r>
      <w:r>
        <w:rPr>
          <w:rFonts w:ascii="Times New Roman" w:hAnsi="Times New Roman"/>
          <w:i/>
          <w:sz w:val="24"/>
        </w:rPr>
        <w:t>Id</w:t>
      </w:r>
      <w:r>
        <w:rPr>
          <w:rFonts w:ascii="Times New Roman" w:hAnsi="Times New Roman"/>
          <w:sz w:val="24"/>
        </w:rPr>
        <w:t xml:space="preserve">. </w:t>
      </w:r>
    </w:p>
    <w:p>
      <w:pPr>
        <w:pStyle w:val="Normal"/>
        <w:bidi w:val="0"/>
        <w:spacing w:lineRule="atLeast" w:line="480"/>
        <w:jc w:val="start"/>
        <w:rPr>
          <w:rFonts w:ascii="Times New Roman" w:hAnsi="Times New Roman"/>
          <w:sz w:val="24"/>
        </w:rPr>
      </w:pPr>
      <w:r>
        <w:rPr>
          <w:rFonts w:ascii="Times New Roman" w:hAnsi="Times New Roman"/>
          <w:sz w:val="24"/>
        </w:rPr>
        <w:tab/>
        <w:t>As proposed, GridFlorida provides only vague guidance with regard to the qualifications of the Directors.    The RTO Formation Plan, with regard to "Director Qualifications," states as follows:</w:t>
      </w:r>
    </w:p>
    <w:p>
      <w:pPr>
        <w:pStyle w:val="Normal"/>
        <w:bidi w:val="0"/>
        <w:ind w:hanging="0" w:start="1440" w:end="1440"/>
        <w:jc w:val="start"/>
        <w:rPr>
          <w:rFonts w:ascii="Times New Roman" w:hAnsi="Times New Roman"/>
          <w:sz w:val="24"/>
        </w:rPr>
      </w:pPr>
      <w:r>
        <w:rPr>
          <w:rFonts w:ascii="Times New Roman" w:hAnsi="Times New Roman"/>
          <w:sz w:val="24"/>
        </w:rPr>
        <w:t>In addition to the qualifications for directors of GF Inc. contained in the Articles of Incorporation and the By-Laws, those persons chosen to serve as initial directors of GF Inc. shall also have qualifications equivalent to those of directors of public corporations with equivalent or larger revenues and assets than that anticipated for GF Inc. and that such initial directors shall reflect, as much as is practicable, a mix of backgrounds and experience, provided, however, that experience in the electric industry is not a prerequisite. In addition, those persons selected as such initial directors shall be of a caliber that will engender credibility in the marketplace, maximize the value of an initial public offering of GF Inc. and provide GF Inc. with quality and experienced leadership.    The Board Selection Committee shall require the Search Firm (as defined below) to select and consult with a nationally recognized investment banking firm concerning the qualifications of directors necessary to achieve the foregoing goals. At least six of such initial directors shall be or have been a president, chief executive officer, chief operating officer or director of at least one publicly traded corporation, and no such initial director shall be 72 years of age or older.</w:t>
      </w:r>
    </w:p>
    <w:p>
      <w:pPr>
        <w:pStyle w:val="Normal"/>
        <w:bidi w:val="0"/>
        <w:spacing w:lineRule="atLeast" w:line="48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RTO Formation Plan § 3.2.    Linking the list of qualifications of directors to those used by investment banking firms is not enough.    These qualifications are broad and unclear and should be geared more toward the electric industry, as with PJM, which requires particular experience with, for example, planning of transmission systems and risk management.    Further, once the attributes and criteria required for board members are established and used by the search firm, they should be made transparent to all market participants.</w:t>
      </w:r>
    </w:p>
    <w:p>
      <w:pPr>
        <w:pStyle w:val="Normal"/>
        <w:bidi w:val="0"/>
        <w:spacing w:lineRule="atLeast" w:line="480"/>
        <w:jc w:val="start"/>
        <w:rPr>
          <w:rFonts w:ascii="Times New Roman" w:hAnsi="Times New Roman"/>
          <w:b/>
          <w:i/>
          <w:i/>
          <w:sz w:val="24"/>
        </w:rPr>
      </w:pPr>
      <w:r>
        <w:rPr>
          <w:rFonts w:ascii="Times New Roman" w:hAnsi="Times New Roman"/>
          <w:sz w:val="24"/>
        </w:rPr>
        <w:tab/>
      </w:r>
    </w:p>
    <w:p>
      <w:pPr>
        <w:pStyle w:val="Normal"/>
        <w:tabs>
          <w:tab w:val="left" w:pos="720" w:leader="none"/>
          <w:tab w:val="left" w:pos="1440" w:leader="none"/>
        </w:tabs>
        <w:bidi w:val="0"/>
        <w:ind w:hanging="1440" w:start="1440"/>
        <w:jc w:val="start"/>
        <w:rPr>
          <w:rFonts w:ascii="Times New Roman" w:hAnsi="Times New Roman"/>
          <w:b/>
          <w:i/>
          <w:i/>
          <w:sz w:val="26"/>
        </w:rPr>
      </w:pPr>
      <w:r>
        <w:rPr>
          <w:rFonts w:ascii="Times New Roman" w:hAnsi="Times New Roman"/>
          <w:b/>
          <w:i/>
          <w:sz w:val="24"/>
        </w:rPr>
        <w:tab/>
      </w:r>
      <w:r>
        <w:rPr>
          <w:rFonts w:ascii="Times New Roman" w:hAnsi="Times New Roman"/>
          <w:b/>
          <w:i/>
          <w:sz w:val="26"/>
        </w:rPr>
        <w:t>D.</w:t>
        <w:tab/>
        <w:t>Applicants' Planning and Expansion Proposal Requires More Explanation with Regard to the Generation Interconnection</w:t>
      </w:r>
    </w:p>
    <w:p>
      <w:pPr>
        <w:pStyle w:val="Normal"/>
        <w:bidi w:val="0"/>
        <w:jc w:val="start"/>
        <w:rPr>
          <w:rFonts w:ascii="Times New Roman" w:hAnsi="Times New Roman"/>
          <w:b/>
          <w:i/>
          <w:i/>
          <w:sz w:val="24"/>
        </w:rPr>
      </w:pPr>
      <w:r>
        <w:rPr>
          <w:rFonts w:ascii="Times New Roman" w:hAnsi="Times New Roman"/>
          <w:b/>
          <w:i/>
          <w:sz w:val="24"/>
        </w:rPr>
      </w:r>
    </w:p>
    <w:p>
      <w:pPr>
        <w:pStyle w:val="Normal"/>
        <w:bidi w:val="0"/>
        <w:spacing w:lineRule="atLeast" w:line="480"/>
        <w:jc w:val="start"/>
        <w:rPr>
          <w:rFonts w:ascii="Times New Roman" w:hAnsi="Times New Roman"/>
          <w:sz w:val="24"/>
        </w:rPr>
      </w:pPr>
      <w:r>
        <w:rPr>
          <w:rFonts w:ascii="Times New Roman" w:hAnsi="Times New Roman"/>
          <w:sz w:val="24"/>
        </w:rPr>
        <w:tab/>
        <w:t xml:space="preserve">EPMI is pleased to see the Applicants' proposed Generation Interconnection Procedures, which they have included as Part IV to the GridFlorida OATT.    </w:t>
      </w:r>
      <w:r>
        <w:rPr>
          <w:rFonts w:ascii="Times New Roman" w:hAnsi="Times New Roman"/>
          <w:i/>
          <w:sz w:val="24"/>
        </w:rPr>
        <w:t>See American Electric Power Service Corp.</w:t>
      </w:r>
      <w:r>
        <w:rPr>
          <w:rFonts w:ascii="Times New Roman" w:hAnsi="Times New Roman"/>
          <w:sz w:val="24"/>
        </w:rPr>
        <w:t xml:space="preserve">, 91 F.E.R.C. ¶ 61,308 at 62,053 (2000) (encouraging tariff revisions to include procedures for requesting interconnection services and the criteria for evaluating those requests).    Despite the overall favorable aspects of the interconnection procedures, there are a few parts of the procedures that require clarification.    First, the procedure for determining the queue priority date for pre-existing generation interconnection requests is unclear.    In section 39.3 of the OATT, any request for interconnection that is dated prior to the effective date of the OATT is "given a queue priority date equal to the date that request was considered to be a valid request by the Divesting Owner or PO."    OATT § 39.3.    It is unclear what the Divesting Owner or PO will find to be a "valid request" and whether the pre-existing requests are posted for each Divesting Owner or PO.    The procedures also are unclear because they do not address who will pay for congestion that is caused by the construction of interconnection facilities, i.e., whether costs will be rolled-in or charged to the interconnection customer deemed to be causing the congestion.    </w:t>
      </w:r>
    </w:p>
    <w:p>
      <w:pPr>
        <w:pStyle w:val="Normal"/>
        <w:bidi w:val="0"/>
        <w:spacing w:lineRule="atLeast" w:line="480"/>
        <w:jc w:val="start"/>
        <w:rPr>
          <w:rFonts w:ascii="Times New Roman" w:hAnsi="Times New Roman"/>
          <w:sz w:val="24"/>
        </w:rPr>
      </w:pPr>
      <w:r>
        <w:rPr>
          <w:rFonts w:ascii="Times New Roman" w:hAnsi="Times New Roman"/>
          <w:sz w:val="24"/>
        </w:rPr>
        <w:tab/>
        <w:t>Finally, section 44.3 of the OATT provides for construction of the facilities by GridFlorida in the absence of a PO undertaking the construction.    It provides no certainty or time limits, however, on the extent of the PO's cooperation when GridFlorida performs the construction.    The construction likely will require considerable cooperation by the PO when it involves the PO's transmission facilities and rights-of-way.    As a result, the provision should be clarified to require a firm commitment or other affirmative obligation on the part of the PO to cooperate with the construction and to not interfere with the timely completion of the project.</w:t>
      </w:r>
    </w:p>
    <w:p>
      <w:pPr>
        <w:pStyle w:val="Normal"/>
        <w:bidi w:val="0"/>
        <w:jc w:val="center"/>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8"/>
        </w:rPr>
      </w:pPr>
      <w:r>
        <w:rPr>
          <w:rFonts w:ascii="Times New Roman" w:hAnsi="Times New Roman"/>
          <w:b/>
          <w:sz w:val="28"/>
        </w:rPr>
        <w:t>IV.</w:t>
      </w:r>
    </w:p>
    <w:p>
      <w:pPr>
        <w:pStyle w:val="Normal"/>
        <w:bidi w:val="0"/>
        <w:jc w:val="both"/>
        <w:rPr>
          <w:rFonts w:ascii="Times New Roman" w:hAnsi="Times New Roman"/>
          <w:b/>
          <w:i/>
          <w:i/>
          <w:sz w:val="24"/>
        </w:rPr>
      </w:pPr>
      <w:r>
        <w:rPr>
          <w:rFonts w:ascii="Times New Roman" w:hAnsi="Times New Roman"/>
          <w:b/>
          <w:sz w:val="28"/>
        </w:rPr>
        <w:t>CONCLUSION</w:t>
      </w:r>
    </w:p>
    <w:p>
      <w:pPr>
        <w:pStyle w:val="Normal"/>
        <w:bidi w:val="0"/>
        <w:spacing w:lineRule="atLeast" w:line="480"/>
        <w:jc w:val="both"/>
        <w:rPr>
          <w:rFonts w:ascii="Times New Roman" w:hAnsi="Times New Roman"/>
          <w:sz w:val="24"/>
        </w:rPr>
      </w:pPr>
      <w:r>
        <w:rPr>
          <w:rFonts w:ascii="Times New Roman" w:hAnsi="Times New Roman"/>
          <w:sz w:val="24"/>
        </w:rPr>
        <w:tab/>
        <w:t xml:space="preserve">WHEREFORE, EPMI requests that the Commission accept the GridFlorida proposal </w:t>
      </w:r>
    </w:p>
    <w:p>
      <w:pPr>
        <w:pStyle w:val="Normal"/>
        <w:bidi w:val="0"/>
        <w:spacing w:lineRule="atLeast" w:line="480"/>
        <w:jc w:val="both"/>
        <w:rPr>
          <w:rFonts w:ascii="Times New Roman" w:hAnsi="Times New Roman"/>
          <w:sz w:val="24"/>
        </w:rPr>
      </w:pPr>
      <w:r>
        <w:rPr>
          <w:rFonts w:ascii="Times New Roman" w:hAnsi="Times New Roman"/>
          <w:sz w:val="24"/>
        </w:rPr>
        <w:t xml:space="preserve">conditioned on the Applicants' providing greater detail in their December 15, 2000, filing on how they have will achieve all of the RTO minimum characteristics and functionalities. </w:t>
      </w:r>
    </w:p>
    <w:p>
      <w:pPr>
        <w:pStyle w:val="Normal"/>
        <w:bidi w:val="0"/>
        <w:jc w:val="both"/>
        <w:rPr>
          <w:rFonts w:ascii="Times New Roman" w:hAnsi="Times New Roman"/>
          <w:sz w:val="24"/>
        </w:rPr>
      </w:pPr>
      <w:r>
        <w:rPr>
          <w:rFonts w:ascii="Times New Roman" w:hAnsi="Times New Roman"/>
          <w:sz w:val="24"/>
        </w:rPr>
        <w:tab/>
        <w:tab/>
        <w:tab/>
        <w:tab/>
        <w:tab/>
        <w:tab/>
        <w:t>Respectfully submitted,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b/>
        <w:tab/>
        <w:tab/>
        <w:tab/>
      </w:r>
    </w:p>
    <w:p>
      <w:pPr>
        <w:pStyle w:val="Normal"/>
        <w:bidi w:val="0"/>
        <w:jc w:val="both"/>
        <w:rPr>
          <w:rFonts w:ascii="Times New Roman" w:hAnsi="Times New Roman"/>
          <w:sz w:val="24"/>
        </w:rPr>
      </w:pPr>
      <w:r>
        <w:rPr>
          <w:rFonts w:ascii="Times New Roman" w:hAnsi="Times New Roman"/>
          <w:sz w:val="24"/>
        </w:rPr>
        <w:tab/>
        <w:tab/>
        <w:tab/>
        <w:tab/>
        <w:tab/>
        <w:tab/>
        <w:t>________________________________</w:t>
        <w:tab/>
      </w:r>
    </w:p>
    <w:p>
      <w:pPr>
        <w:pStyle w:val="Normal"/>
        <w:bidi w:val="0"/>
        <w:jc w:val="both"/>
        <w:rPr>
          <w:rFonts w:ascii="Times New Roman" w:hAnsi="Times New Roman"/>
          <w:sz w:val="24"/>
        </w:rPr>
      </w:pPr>
      <w:r>
        <w:rPr>
          <w:rFonts w:ascii="Times New Roman" w:hAnsi="Times New Roman"/>
          <w:sz w:val="24"/>
        </w:rPr>
        <w:tab/>
        <w:tab/>
        <w:tab/>
        <w:tab/>
        <w:tab/>
        <w:tab/>
        <w:t>Sarah G. Novosel</w:t>
      </w:r>
    </w:p>
    <w:p>
      <w:pPr>
        <w:pStyle w:val="Normal"/>
        <w:tabs>
          <w:tab w:val="left" w:pos="720" w:leader="none"/>
        </w:tabs>
        <w:bidi w:val="0"/>
        <w:ind w:hanging="720" w:start="720"/>
        <w:jc w:val="both"/>
        <w:rPr>
          <w:rFonts w:ascii="Times New Roman" w:hAnsi="Times New Roman"/>
          <w:sz w:val="24"/>
        </w:rPr>
      </w:pPr>
      <w:r>
        <w:rPr>
          <w:rFonts w:ascii="Times New Roman" w:hAnsi="Times New Roman"/>
          <w:sz w:val="24"/>
        </w:rPr>
        <w:tab/>
        <w:tab/>
        <w:tab/>
        <w:tab/>
        <w:tab/>
        <w:tab/>
        <w:t>Sr. Director, Federal Regulatory Affairs</w:t>
        <w:tab/>
        <w:tab/>
        <w:tab/>
        <w:tab/>
        <w:tab/>
        <w:tab/>
        <w:tab/>
        <w:tab/>
        <w:t>Enron Corp.</w:t>
        <w:tab/>
        <w:tab/>
        <w:tab/>
        <w:tab/>
        <w:tab/>
        <w:tab/>
        <w:tab/>
        <w:tab/>
        <w:tab/>
        <w:tab/>
        <w:tab/>
        <w:tab/>
        <w:t>1775 Eye Street, N.W., Suite 800</w:t>
        <w:tab/>
        <w:tab/>
        <w:tab/>
      </w:r>
    </w:p>
    <w:p>
      <w:pPr>
        <w:pStyle w:val="Normal"/>
        <w:bidi w:val="0"/>
        <w:jc w:val="both"/>
        <w:rPr>
          <w:rFonts w:ascii="Times New Roman" w:hAnsi="Times New Roman"/>
          <w:sz w:val="24"/>
        </w:rPr>
      </w:pPr>
      <w:r>
        <w:rPr>
          <w:rFonts w:ascii="Times New Roman" w:hAnsi="Times New Roman"/>
          <w:sz w:val="24"/>
        </w:rPr>
        <w:tab/>
        <w:tab/>
        <w:tab/>
        <w:tab/>
        <w:tab/>
        <w:tab/>
        <w:t>Washington, D.C.      20006-4607</w:t>
        <w:tab/>
        <w:tab/>
        <w:tab/>
        <w:tab/>
        <w:tab/>
        <w:tab/>
        <w:tab/>
        <w:tab/>
        <w:tab/>
        <w:t>(202) 466-9160</w:t>
        <w:tab/>
        <w:tab/>
        <w:tab/>
        <w:tab/>
        <w:tab/>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440" w:gutter="0" w:header="1440" w:top="1497" w:footer="0" w:bottom="1440"/>
          <w:formProt w:val="false"/>
          <w:titlePg/>
          <w:textDirection w:val="lrTb"/>
          <w:docGrid w:type="default" w:linePitch="600" w:charSpace="40960"/>
        </w:sectPr>
        <w:pStyle w:val="Normal"/>
        <w:bidi w:val="0"/>
        <w:jc w:val="both"/>
        <w:rPr>
          <w:rFonts w:ascii="Times New Roman" w:hAnsi="Times New Roman"/>
          <w:sz w:val="24"/>
        </w:rPr>
      </w:pPr>
      <w:r>
        <w:rPr>
          <w:rFonts w:ascii="Times New Roman" w:hAnsi="Times New Roman"/>
          <w:sz w:val="24"/>
        </w:rPr>
        <w:t>November 20, 2000</w:t>
      </w:r>
      <w:r>
        <w:br w:type="page"/>
      </w:r>
    </w:p>
    <w:p>
      <w:pPr>
        <w:pStyle w:val="Normal"/>
        <w:bidi w:val="0"/>
        <w:jc w:val="start"/>
        <w:rPr>
          <w:sz w:val="24"/>
        </w:rPr>
      </w:pPr>
      <w:r>
        <w:rPr>
          <w:sz w:val="24"/>
        </w:rPr>
      </w:r>
    </w:p>
    <w:p>
      <w:pPr>
        <w:sectPr>
          <w:headerReference w:type="even" r:id="rId5"/>
          <w:headerReference w:type="default" r:id="rId6"/>
          <w:headerReference w:type="first" r:id="rId7"/>
          <w:footnotePr>
            <w:numFmt w:val="decimal"/>
            <w:numRestart w:val="eachSect"/>
          </w:footnotePr>
          <w:type w:val="nextPage"/>
          <w:pgSz w:w="12240" w:h="15840"/>
          <w:pgMar w:left="1440" w:right="1350" w:gutter="0" w:header="1440" w:top="1497" w:footer="0" w:bottom="475"/>
          <w:pgNumType w:fmt="decimal"/>
          <w:formProt w:val="false"/>
          <w:textDirection w:val="lrTb"/>
          <w:docGrid w:type="default" w:linePitch="600" w:charSpace="40960"/>
        </w:sectPr>
      </w:pPr>
    </w:p>
    <w:p>
      <w:pPr>
        <w:pStyle w:val="Normal"/>
        <w:bidi w:val="0"/>
        <w:jc w:val="center"/>
        <w:rPr>
          <w:rFonts w:ascii="Times New Roman" w:hAnsi="Times New Roman"/>
          <w:sz w:val="28"/>
        </w:rPr>
      </w:pPr>
      <w:r>
        <w:rPr>
          <w:rFonts w:ascii="Times New Roman" w:hAnsi="Times New Roman"/>
          <w:sz w:val="28"/>
        </w:rPr>
        <w:t>UNITED STATES OF AMERICA</w:t>
      </w:r>
    </w:p>
    <w:p>
      <w:pPr>
        <w:pStyle w:val="Normal"/>
        <w:bidi w:val="0"/>
        <w:jc w:val="center"/>
        <w:rPr>
          <w:rFonts w:ascii="Times New Roman" w:hAnsi="Times New Roman"/>
          <w:sz w:val="28"/>
        </w:rPr>
      </w:pPr>
      <w:r>
        <w:rPr>
          <w:rFonts w:ascii="Times New Roman" w:hAnsi="Times New Roman"/>
          <w:sz w:val="28"/>
        </w:rPr>
        <w:t>BEFORE THE</w:t>
      </w:r>
    </w:p>
    <w:p>
      <w:pPr>
        <w:pStyle w:val="Normal"/>
        <w:bidi w:val="0"/>
        <w:jc w:val="center"/>
        <w:rPr>
          <w:rFonts w:ascii="Times New Roman" w:hAnsi="Times New Roman"/>
          <w:sz w:val="24"/>
        </w:rPr>
      </w:pPr>
      <w:r>
        <w:rPr>
          <w:rFonts w:ascii="Times New Roman" w:hAnsi="Times New Roman"/>
          <w:sz w:val="28"/>
        </w:rPr>
        <w:t>FEDERAL ENERGY REGULATORY COMMISSION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____________________________________</w:t>
      </w:r>
    </w:p>
    <w:p>
      <w:pPr>
        <w:pStyle w:val="Normal"/>
        <w:bidi w:val="0"/>
        <w:jc w:val="start"/>
        <w:rPr>
          <w:rFonts w:ascii="Times New Roman" w:hAnsi="Times New Roman"/>
          <w:sz w:val="24"/>
        </w:rPr>
      </w:pPr>
      <w:r>
        <w:rPr>
          <w:rFonts w:ascii="Times New Roman" w:hAnsi="Times New Roman"/>
          <w:sz w:val="24"/>
        </w:rPr>
        <w:tab/>
        <w:tab/>
        <w:tab/>
        <w:tab/>
        <w:tab/>
        <w:tab/>
        <w:t>)</w:t>
      </w:r>
    </w:p>
    <w:p>
      <w:pPr>
        <w:pStyle w:val="Normal"/>
        <w:tabs>
          <w:tab w:val="left" w:pos="720" w:leader="none"/>
          <w:tab w:val="left" w:pos="1440" w:leader="none"/>
          <w:tab w:val="left" w:pos="2160" w:leader="none"/>
          <w:tab w:val="left" w:pos="2880" w:leader="none"/>
        </w:tabs>
        <w:bidi w:val="0"/>
        <w:ind w:hanging="2880" w:start="2880"/>
        <w:jc w:val="start"/>
        <w:rPr>
          <w:rFonts w:ascii="Times New Roman" w:hAnsi="Times New Roman"/>
          <w:sz w:val="24"/>
        </w:rPr>
      </w:pPr>
      <w:r>
        <w:rPr>
          <w:rFonts w:ascii="Times New Roman" w:hAnsi="Times New Roman"/>
          <w:sz w:val="24"/>
        </w:rPr>
        <w:t>GridFlorida LLC</w:t>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Florida Power &amp; Light Co.</w:t>
        <w:tab/>
        <w:tab/>
        <w:tab/>
        <w:t>)</w:t>
        <w:tab/>
        <w:t>Docket No. RT01-67-000</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sz w:val="24"/>
        </w:rPr>
      </w:pPr>
      <w:r>
        <w:rPr>
          <w:rFonts w:ascii="Times New Roman" w:hAnsi="Times New Roman"/>
          <w:sz w:val="24"/>
        </w:rPr>
        <w:t>Florida Power Corporation</w:t>
        <w:tab/>
        <w:tab/>
        <w:tab/>
        <w:t>)</w:t>
      </w:r>
    </w:p>
    <w:p>
      <w:pPr>
        <w:pStyle w:val="Normal"/>
        <w:bidi w:val="0"/>
        <w:jc w:val="start"/>
        <w:rPr>
          <w:rFonts w:ascii="Times New Roman" w:hAnsi="Times New Roman"/>
          <w:sz w:val="24"/>
        </w:rPr>
      </w:pPr>
      <w:r>
        <w:rPr>
          <w:rFonts w:ascii="Times New Roman" w:hAnsi="Times New Roman"/>
          <w:sz w:val="24"/>
        </w:rPr>
        <w:t>Tampa Electric Co.</w:t>
        <w:tab/>
        <w:tab/>
        <w:tab/>
        <w:tab/>
        <w:t>)</w:t>
      </w:r>
    </w:p>
    <w:p>
      <w:pPr>
        <w:pStyle w:val="Normal"/>
        <w:bidi w:val="0"/>
        <w:jc w:val="start"/>
        <w:rPr>
          <w:rFonts w:ascii="Times New Roman" w:hAnsi="Times New Roman"/>
          <w:sz w:val="24"/>
        </w:rPr>
      </w:pPr>
      <w:r>
        <w:rPr>
          <w:rFonts w:ascii="Times New Roman" w:hAnsi="Times New Roman"/>
          <w:sz w:val="24"/>
        </w:rPr>
        <w:t>____________________________________)</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CERTIFICATE OF SERVICE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Dated at Washington, D.C., this 20</w:t>
      </w:r>
      <w:r>
        <w:rPr>
          <w:rFonts w:ascii="Times New Roman" w:hAnsi="Times New Roman"/>
          <w:sz w:val="24"/>
          <w:vertAlign w:val="superscript"/>
        </w:rPr>
        <w:t>th</w:t>
      </w:r>
      <w:r>
        <w:rPr>
          <w:rFonts w:ascii="Times New Roman" w:hAnsi="Times New Roman"/>
          <w:sz w:val="24"/>
        </w:rPr>
        <w:t xml:space="preserve">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____________________________________</w:t>
      </w:r>
    </w:p>
    <w:p>
      <w:pPr>
        <w:pStyle w:val="Normal"/>
        <w:bidi w:val="0"/>
        <w:jc w:val="start"/>
        <w:rPr>
          <w:rFonts w:ascii="Times New Roman" w:hAnsi="Times New Roman"/>
          <w:sz w:val="24"/>
        </w:rPr>
      </w:pPr>
      <w:r>
        <w:rPr>
          <w:rFonts w:ascii="Times New Roman" w:hAnsi="Times New Roman"/>
          <w:sz w:val="24"/>
        </w:rPr>
        <w:tab/>
        <w:tab/>
        <w:tab/>
        <w:tab/>
        <w:tab/>
        <w:tab/>
        <w:tab/>
        <w:t>Sarah G. Novosel</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footnotePr>
            <w:numFmt w:val="decimal"/>
            <w:numRestart w:val="eachSect"/>
          </w:footnotePr>
          <w:type w:val="continuous"/>
          <w:pgSz w:w="12240" w:h="15840"/>
          <w:pgMar w:left="1440" w:right="1350" w:gutter="0" w:header="1440" w:top="1497" w:footer="0" w:bottom="475"/>
          <w:formProt w:val="false"/>
          <w:textDirection w:val="lrTb"/>
          <w:docGrid w:type="default" w:linePitch="600" w:charSpace="40960"/>
        </w:sectPr>
      </w:pPr>
    </w:p>
    <w:p>
      <w:pPr>
        <w:pStyle w:val="Normal"/>
        <w:bidi w:val="0"/>
        <w:jc w:val="start"/>
        <w:rPr>
          <w:sz w:val="24"/>
        </w:rPr>
      </w:pPr>
      <w:r>
        <w:rPr>
          <w:sz w:val="24"/>
        </w:rPr>
      </w:r>
    </w:p>
    <w:sectPr>
      <w:footnotePr>
        <w:numFmt w:val="decimal"/>
        <w:numRestart w:val="eachSect"/>
      </w:footnotePr>
      <w:type w:val="continuous"/>
      <w:pgSz w:w="12240" w:h="15840"/>
      <w:pgMar w:left="1440" w:right="1350" w:gutter="0" w:header="1440" w:top="1497" w:footer="0" w:bottom="475"/>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TypographicSymbols">
    <w:charset w:val="01" w:characterSet="utf-8"/>
    <w:family w:val="roman"/>
    <w:pitch w:val="variable"/>
  </w:font>
  <w:font w:name="Times New">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i/>
          <w:sz w:val="22"/>
        </w:rPr>
        <w:t>Regional Transmission Organizations</w:t>
      </w:r>
      <w:r>
        <w:rPr>
          <w:rFonts w:ascii="Times New Roman" w:hAnsi="Times New Roman"/>
          <w:sz w:val="22"/>
        </w:rPr>
        <w:t xml:space="preserve">, Order No. 2000, III F.E.R.C. Stats. &amp; Regs. ¶ 31,089 (2000) [hereinafter cited as </w:t>
      </w:r>
      <w:r>
        <w:rPr>
          <w:rFonts w:ascii="Times New Roman" w:hAnsi="Times New Roman"/>
          <w:i/>
          <w:sz w:val="22"/>
        </w:rPr>
        <w:t>Order No. 2000</w:t>
      </w:r>
      <w:r>
        <w:rPr>
          <w:rFonts w:ascii="Times New Roman" w:hAnsi="Times New Roman"/>
          <w:sz w:val="22"/>
        </w:rPr>
        <w:t xml:space="preserve">], </w:t>
      </w:r>
      <w:r>
        <w:rPr>
          <w:rFonts w:ascii="Times New Roman" w:hAnsi="Times New Roman"/>
          <w:i/>
          <w:sz w:val="22"/>
        </w:rPr>
        <w:t>order on reh'g</w:t>
      </w:r>
      <w:r>
        <w:rPr>
          <w:rFonts w:ascii="Times New Roman" w:hAnsi="Times New Roman"/>
          <w:sz w:val="22"/>
        </w:rPr>
        <w:t xml:space="preserve">, Order No. 2000-A, III F.E.R.C. Stats. &amp; Regs. ¶ 31,092 (2000) [hereinafter cited as </w:t>
      </w:r>
      <w:r>
        <w:rPr>
          <w:rFonts w:ascii="Times New Roman" w:hAnsi="Times New Roman"/>
          <w:i/>
          <w:sz w:val="22"/>
        </w:rPr>
        <w:t>Order No. 2000-A</w:t>
      </w:r>
      <w:r>
        <w:rPr>
          <w:rFonts w:ascii="Times New Roman" w:hAnsi="Times New Roman"/>
          <w:sz w:val="22"/>
        </w:rPr>
        <w:t xml:space="preserve">], </w:t>
      </w:r>
      <w:r>
        <w:rPr>
          <w:rFonts w:ascii="Times New Roman" w:hAnsi="Times New Roman"/>
          <w:i/>
          <w:sz w:val="22"/>
        </w:rPr>
        <w:t>appeal docketed sub nom. Public Utility District No. 1 of Snohomish County, Washington v. FERC</w:t>
      </w:r>
      <w:r>
        <w:rPr>
          <w:rFonts w:ascii="Times New Roman" w:hAnsi="Times New Roman"/>
          <w:sz w:val="22"/>
        </w:rPr>
        <w:t xml:space="preserve">, Nos. 00-1174, </w:t>
      </w:r>
      <w:r>
        <w:rPr>
          <w:rFonts w:ascii="Times New Roman" w:hAnsi="Times New Roman"/>
          <w:i/>
          <w:sz w:val="22"/>
        </w:rPr>
        <w:t>et al</w:t>
      </w:r>
      <w:r>
        <w:rPr>
          <w:rFonts w:ascii="Times New Roman" w:hAnsi="Times New Roman"/>
          <w:sz w:val="22"/>
        </w:rPr>
        <w:t>., (D.C. Cir. Apr. 24, 2000).</w:t>
      </w:r>
    </w:p>
  </w:footnote>
  <w:footnote w:id="3">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 xml:space="preserve"> </w:t>
      </w:r>
      <w:r>
        <w:rPr>
          <w:rFonts w:ascii="Times New Roman" w:hAnsi="Times New Roman"/>
          <w:i/>
          <w:sz w:val="22"/>
        </w:rPr>
        <w:t>Promoting Wholesale Competition Through Open Access Non-Discriminatory Transmission Services by Public Utilities; Recovery of Stranded Costs by Public Utilities and Transmitting Utilities</w:t>
      </w:r>
      <w:r>
        <w:rPr>
          <w:rFonts w:ascii="Times New Roman" w:hAnsi="Times New Roman"/>
          <w:sz w:val="22"/>
        </w:rPr>
        <w:t xml:space="preserve">, Order No. 888, 61 Fed. Reg. 21,540 (May 10, 1996), [1991-96 Reg. Preambles] F.E.R.C. Stats. &amp; Regs. ¶ 31,036 (1996), </w:t>
      </w:r>
      <w:r>
        <w:rPr>
          <w:rFonts w:ascii="Times New Roman" w:hAnsi="Times New Roman"/>
          <w:i/>
          <w:sz w:val="22"/>
        </w:rPr>
        <w:t>clarified</w:t>
      </w:r>
      <w:r>
        <w:rPr>
          <w:rFonts w:ascii="Times New Roman" w:hAnsi="Times New Roman"/>
          <w:sz w:val="22"/>
        </w:rPr>
        <w:t xml:space="preserve">, 76 F.E.R.C. ¶¶ 61,009, 61,347 (1996), </w:t>
      </w:r>
      <w:r>
        <w:rPr>
          <w:rFonts w:ascii="Times New Roman" w:hAnsi="Times New Roman"/>
          <w:i/>
          <w:sz w:val="22"/>
        </w:rPr>
        <w:t>order on reh'g</w:t>
      </w:r>
      <w:r>
        <w:rPr>
          <w:rFonts w:ascii="Times New Roman" w:hAnsi="Times New Roman"/>
          <w:sz w:val="22"/>
        </w:rPr>
        <w:t xml:space="preserve">, Order No. 888-A, 62 Fed. Reg. 12,274 (March 14, 1997), III F.E.R.C. Stats. &amp; Regs. ¶ 31,048 (1997), </w:t>
      </w:r>
      <w:r>
        <w:rPr>
          <w:rFonts w:ascii="Times New Roman" w:hAnsi="Times New Roman"/>
          <w:i/>
          <w:sz w:val="22"/>
        </w:rPr>
        <w:t>order on reh'g</w:t>
      </w:r>
      <w:r>
        <w:rPr>
          <w:rFonts w:ascii="Times New Roman" w:hAnsi="Times New Roman"/>
          <w:sz w:val="22"/>
        </w:rPr>
        <w:t xml:space="preserve">, Order No. 888-B, 62 Fed. Reg. 64,688 (Dec. 9, 1997), 81 F.E.R.C. ¶ 61,248 (1997), </w:t>
      </w:r>
      <w:r>
        <w:rPr>
          <w:rFonts w:ascii="Times New Roman" w:hAnsi="Times New Roman"/>
          <w:i/>
          <w:sz w:val="22"/>
        </w:rPr>
        <w:t>aff'd and remanded sub nom. Transmission Access Policy Study Group v. FERC</w:t>
      </w:r>
      <w:r>
        <w:rPr>
          <w:rFonts w:ascii="Times New Roman" w:hAnsi="Times New Roman"/>
          <w:sz w:val="22"/>
        </w:rPr>
        <w:t xml:space="preserve">, 225 F.3d 667 (D.C. Cir. 2000), </w:t>
      </w:r>
      <w:r>
        <w:rPr>
          <w:rFonts w:ascii="Times New Roman" w:hAnsi="Times New Roman"/>
          <w:i/>
          <w:sz w:val="22"/>
        </w:rPr>
        <w:t>petition for cert. filed sub nom. People of the State of New York and Public Serv. Comm. of the State of New York v. FERC</w:t>
      </w:r>
      <w:r>
        <w:rPr>
          <w:rFonts w:ascii="Times New Roman" w:hAnsi="Times New Roman"/>
          <w:sz w:val="22"/>
        </w:rPr>
        <w:t>,  69 U.S.L.W. 3281 (U.S. Oct. 11, 2000) (No. 00-568).</w:t>
      </w:r>
    </w:p>
  </w:footnote>
  <w:footnote w:id="4">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 xml:space="preserve"> </w:t>
      </w:r>
      <w:r>
        <w:rPr>
          <w:rFonts w:ascii="Times New Roman" w:hAnsi="Times New Roman"/>
          <w:i/>
          <w:sz w:val="22"/>
        </w:rPr>
        <w:t>Open Access Same-Time Information System (Formerly Real-Time Information Networks) and Standards of Conduct</w:t>
      </w:r>
      <w:r>
        <w:rPr>
          <w:rFonts w:ascii="Times New Roman" w:hAnsi="Times New Roman"/>
          <w:sz w:val="22"/>
        </w:rPr>
        <w:t xml:space="preserve">, Order No. 889, 61 Fed. Reg. 21,737 (May 10, 1996), [1991-96 Regs. Preambles] F.E.R.C. Stats. &amp; Regs. ¶ 31,035 (1996), </w:t>
      </w:r>
      <w:r>
        <w:rPr>
          <w:rFonts w:ascii="Times New Roman" w:hAnsi="Times New Roman"/>
          <w:i/>
          <w:sz w:val="22"/>
        </w:rPr>
        <w:t>order on reh’g</w:t>
      </w:r>
      <w:r>
        <w:rPr>
          <w:rFonts w:ascii="Times New Roman" w:hAnsi="Times New Roman"/>
          <w:sz w:val="22"/>
        </w:rPr>
        <w:t xml:space="preserve">, Order No. 889-A, 62 Fed. Reg. 12,484 (March 14, 1997), III F.E.R.C. Stats. &amp; Regs. ¶ 31,049 (1997), </w:t>
      </w:r>
      <w:r>
        <w:rPr>
          <w:rFonts w:ascii="Times New Roman" w:hAnsi="Times New Roman"/>
          <w:i/>
          <w:sz w:val="22"/>
        </w:rPr>
        <w:t>order denying reh’g</w:t>
      </w:r>
      <w:r>
        <w:rPr>
          <w:rFonts w:ascii="Times New Roman" w:hAnsi="Times New Roman"/>
          <w:sz w:val="22"/>
        </w:rPr>
        <w:t xml:space="preserve">, Order No. 889-B, 62 Fed. Reg. 64,715 (Dec. 9, 1997), 81 F.E.R.C. ¶ 61,253 (1997), </w:t>
      </w:r>
      <w:r>
        <w:rPr>
          <w:rFonts w:ascii="Times New Roman" w:hAnsi="Times New Roman"/>
          <w:i/>
          <w:sz w:val="22"/>
        </w:rPr>
        <w:t>aff'd and remanded sub nom.</w:t>
      </w:r>
      <w:r>
        <w:rPr>
          <w:rFonts w:ascii="Times New Roman" w:hAnsi="Times New Roman"/>
          <w:sz w:val="22"/>
        </w:rPr>
        <w:t xml:space="preserve"> </w:t>
      </w:r>
      <w:r>
        <w:rPr>
          <w:rFonts w:ascii="Times New Roman" w:hAnsi="Times New Roman"/>
          <w:i/>
          <w:sz w:val="22"/>
        </w:rPr>
        <w:t>Transmission Access Policy Study Group (TAPS) v. FERC</w:t>
      </w:r>
      <w:r>
        <w:rPr>
          <w:rFonts w:ascii="Times New Roman" w:hAnsi="Times New Roman"/>
          <w:sz w:val="22"/>
        </w:rPr>
        <w:t xml:space="preserve">, 225 F.3d 667 (D.C. Cir. 2000), </w:t>
      </w:r>
      <w:r>
        <w:rPr>
          <w:rFonts w:ascii="Times New Roman" w:hAnsi="Times New Roman"/>
          <w:i/>
          <w:sz w:val="22"/>
        </w:rPr>
        <w:t>petition for cert. filed sub nom. People of the State of New York and Public Serv. Comm. of the State of New York v. FERC</w:t>
      </w:r>
      <w:r>
        <w:rPr>
          <w:rFonts w:ascii="Times New Roman" w:hAnsi="Times New Roman"/>
          <w:sz w:val="22"/>
        </w:rPr>
        <w:t>,  69 U.S.L.W. 3281 (U.S. Oct. 11, 2000) (No. 00-568).</w:t>
      </w:r>
    </w:p>
  </w:footnote>
  <w:footnote w:id="5">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 xml:space="preserve">Notably included in this group are the Antitrust Division of the Department of Justice and the Bureau of Economics of the Federal Trade Commission, both of whom have consistently urged the Commission to recognize that continued vertical integration and the failure to separate transmission monopoly functions from power seller functions perpetuate both the incentive and ability of incumbents to discriminate and block new entry.  </w:t>
      </w:r>
      <w:r>
        <w:rPr>
          <w:rFonts w:ascii="Times New Roman" w:hAnsi="Times New Roman"/>
          <w:i/>
          <w:sz w:val="22"/>
        </w:rPr>
        <w:t>See, e.g.</w:t>
      </w:r>
      <w:r>
        <w:rPr>
          <w:rFonts w:ascii="Times New Roman" w:hAnsi="Times New Roman"/>
          <w:sz w:val="22"/>
        </w:rPr>
        <w:t>,</w:t>
      </w:r>
      <w:r>
        <w:rPr>
          <w:rFonts w:ascii="Times New Roman" w:hAnsi="Times New Roman"/>
          <w:i/>
          <w:sz w:val="22"/>
        </w:rPr>
        <w:t xml:space="preserve"> Order No. 888</w:t>
      </w:r>
      <w:r>
        <w:rPr>
          <w:rFonts w:ascii="Times New Roman" w:hAnsi="Times New Roman"/>
          <w:sz w:val="22"/>
        </w:rPr>
        <w:t xml:space="preserve">, [1991-96 Regs. Preambles] F.E.R.C. at 31,654-55; </w:t>
      </w:r>
      <w:r>
        <w:rPr>
          <w:rFonts w:ascii="Times New Roman" w:hAnsi="Times New Roman"/>
          <w:i/>
          <w:sz w:val="22"/>
        </w:rPr>
        <w:t>Comments of the Staff of the Bureau of Economics of the Federal Trade Commission</w:t>
      </w:r>
      <w:r>
        <w:rPr>
          <w:rFonts w:ascii="Times New Roman" w:hAnsi="Times New Roman"/>
          <w:sz w:val="22"/>
        </w:rPr>
        <w:t xml:space="preserve"> at 3, Docket No. RM95-8-000, </w:t>
      </w:r>
      <w:r>
        <w:rPr>
          <w:rFonts w:ascii="Times New Roman" w:hAnsi="Times New Roman"/>
          <w:i/>
          <w:sz w:val="22"/>
        </w:rPr>
        <w:t>et al.</w:t>
      </w:r>
      <w:r>
        <w:rPr>
          <w:rFonts w:ascii="Times New Roman" w:hAnsi="Times New Roman"/>
          <w:sz w:val="22"/>
        </w:rPr>
        <w:t xml:space="preserve"> (filed Aug. 7, 1995).</w:t>
      </w:r>
    </w:p>
  </w:footnote>
  <w:footnote w:id="6">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i/>
          <w:sz w:val="22"/>
        </w:rPr>
        <w:t xml:space="preserve"> </w:t>
      </w:r>
      <w:r>
        <w:rPr>
          <w:rFonts w:ascii="Times New Roman" w:hAnsi="Times New Roman"/>
          <w:i/>
          <w:sz w:val="22"/>
        </w:rPr>
        <w:t>Basic Operating Functions and Responsibilities: A White Paper by the CACTF</w:t>
      </w:r>
      <w:r>
        <w:rPr>
          <w:rFonts w:ascii="Times New Roman" w:hAnsi="Times New Roman"/>
          <w:sz w:val="22"/>
        </w:rPr>
        <w:t xml:space="preserve"> (Oct. 5, 2000).</w:t>
      </w:r>
    </w:p>
  </w:footnote>
  <w:footnote w:id="7">
    <w:p>
      <w:pPr>
        <w:pStyle w:val="FootnoteText"/>
        <w:bidi w:val="0"/>
        <w:jc w:val="start"/>
        <w:rPr/>
      </w:pPr>
      <w:r>
        <w:rPr>
          <w:rStyle w:val="FootnoteCharacters"/>
        </w:rPr>
        <w:footnoteRef/>
      </w:r>
      <w:r>
        <w:rPr>
          <w:rFonts w:ascii="Times New Roman" w:hAnsi="Times New Roman"/>
          <w:sz w:val="24"/>
        </w:rPr>
        <w:t xml:space="preserve">  </w:t>
      </w:r>
      <w:r>
        <w:rPr>
          <w:rFonts w:ascii="Times New Roman" w:hAnsi="Times New Roman"/>
          <w:sz w:val="22"/>
        </w:rPr>
        <w:t xml:space="preserve">Note that this is equally true of other congestion management systems, such as ones that use LMP in connection with centralized redispatch based on optimization models.  Because these systems are incapable of generating prices for transmission that are knowable in advance, they resort to financial rights (referred to as fixed or financial transmission rights ("FTRs")) that, at best, provide the holder with a financial hedge against LMP's </w:t>
      </w:r>
      <w:r>
        <w:rPr>
          <w:rFonts w:ascii="Times New Roman" w:hAnsi="Times New Roman"/>
          <w:i/>
          <w:sz w:val="22"/>
        </w:rPr>
        <w:t>ex post</w:t>
      </w:r>
      <w:r>
        <w:rPr>
          <w:rFonts w:ascii="Times New Roman" w:hAnsi="Times New Roman"/>
          <w:sz w:val="22"/>
        </w:rPr>
        <w:t xml:space="preserve"> prices, so long as the holder fulfills its obligation to flow power in a certain direction.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EPMI Comments and Protest</w:t>
    </w:r>
  </w:p>
  <w:p>
    <w:pPr>
      <w:pStyle w:val="Normal"/>
      <w:bidi w:val="0"/>
      <w:spacing w:lineRule="atLeast" w:line="0"/>
      <w:jc w:val="both"/>
      <w:rPr>
        <w:rFonts w:ascii="Times New" w:hAnsi="Times New"/>
        <w:sz w:val="24"/>
      </w:rPr>
    </w:pPr>
    <w:r>
      <w:rPr>
        <w:rFonts w:ascii="Times New" w:hAnsi="Times New"/>
        <w:sz w:val="24"/>
      </w:rPr>
      <w:t>Docket No. RT01-67-000</w:t>
      <w:tab/>
      <w:t xml:space="preserve">Page </w:t>
    </w:r>
    <w:r>
      <w:rPr>
        <w:rFonts w:ascii="Times New" w:hAnsi="Times New"/>
        <w:sz w:val="24"/>
      </w:rPr>
      <w:fldChar w:fldCharType="begin"/>
    </w:r>
    <w:r>
      <w:rPr>
        <w:sz w:val="24"/>
        <w:rFonts w:ascii="Times New" w:hAnsi="Times New"/>
      </w:rPr>
      <w:instrText xml:space="preserve"> PAGE </w:instrText>
    </w:r>
    <w:r>
      <w:rPr>
        <w:sz w:val="24"/>
        <w:rFonts w:ascii="Times New" w:hAnsi="Times New"/>
      </w:rPr>
      <w:fldChar w:fldCharType="separate"/>
    </w:r>
    <w:r>
      <w:rPr>
        <w:sz w:val="24"/>
        <w:rFonts w:ascii="Times New" w:hAnsi="Times New"/>
      </w:rPr>
      <w:t>15</w:t>
    </w:r>
    <w:r>
      <w:rPr>
        <w:sz w:val="24"/>
        <w:rFonts w:ascii="Times New" w:hAnsi="Times New"/>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EPMI Comments and Protest</w:t>
    </w:r>
  </w:p>
  <w:p>
    <w:pPr>
      <w:pStyle w:val="Normal"/>
      <w:bidi w:val="0"/>
      <w:spacing w:lineRule="atLeast" w:line="0"/>
      <w:jc w:val="both"/>
      <w:rPr>
        <w:rFonts w:ascii="Times New" w:hAnsi="Times New"/>
        <w:sz w:val="24"/>
      </w:rPr>
    </w:pPr>
    <w:r>
      <w:rPr>
        <w:rFonts w:ascii="Times New" w:hAnsi="Times New"/>
        <w:sz w:val="24"/>
      </w:rPr>
      <w:t>Docket No. RT01-67-000</w:t>
      <w:tab/>
      <w:t xml:space="preserve">Page </w:t>
    </w:r>
    <w:r>
      <w:rPr>
        <w:rFonts w:ascii="Times New" w:hAnsi="Times New"/>
        <w:sz w:val="24"/>
      </w:rPr>
      <w:fldChar w:fldCharType="begin"/>
    </w:r>
    <w:r>
      <w:rPr>
        <w:sz w:val="24"/>
        <w:rFonts w:ascii="Times New" w:hAnsi="Times New"/>
      </w:rPr>
      <w:instrText xml:space="preserve"> PAGE </w:instrText>
    </w:r>
    <w:r>
      <w:rPr>
        <w:sz w:val="24"/>
        <w:rFonts w:ascii="Times New" w:hAnsi="Times New"/>
      </w:rPr>
      <w:fldChar w:fldCharType="separate"/>
    </w:r>
    <w:r>
      <w:rPr>
        <w:sz w:val="24"/>
        <w:rFonts w:ascii="Times New" w:hAnsi="Times New"/>
      </w:rPr>
      <w:t>16</w:t>
    </w:r>
    <w:r>
      <w:rPr>
        <w:sz w:val="24"/>
        <w:rFonts w:ascii="Times New" w:hAnsi="Times New"/>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4"/>
      </w:rPr>
    </w:pPr>
    <w:r>
      <w:rPr>
        <w:rFonts w:ascii="Times New Roman" w:hAnsi="Times New Roman"/>
        <w:sz w:val="24"/>
      </w:rPr>
      <w:t>EPMI Comments and Protest</w:t>
    </w:r>
  </w:p>
  <w:p>
    <w:pPr>
      <w:pStyle w:val="Normal"/>
      <w:bidi w:val="0"/>
      <w:spacing w:lineRule="atLeast" w:line="0"/>
      <w:jc w:val="both"/>
      <w:rPr>
        <w:rFonts w:ascii="Times New" w:hAnsi="Times New"/>
        <w:sz w:val="24"/>
      </w:rPr>
    </w:pPr>
    <w:r>
      <w:rPr>
        <w:rFonts w:ascii="Times New" w:hAnsi="Times New"/>
        <w:sz w:val="24"/>
      </w:rPr>
      <w:t>Docket No. RT01-67-000</w:t>
      <w:tab/>
      <w:t xml:space="preserve">Page </w:t>
    </w:r>
    <w:r>
      <w:rPr>
        <w:rFonts w:ascii="Times New" w:hAnsi="Times New"/>
        <w:sz w:val="24"/>
      </w:rPr>
      <w:fldChar w:fldCharType="begin"/>
    </w:r>
    <w:r>
      <w:rPr>
        <w:sz w:val="24"/>
        <w:rFonts w:ascii="Times New" w:hAnsi="Times New"/>
      </w:rPr>
      <w:instrText xml:space="preserve"> PAGE </w:instrText>
    </w:r>
    <w:r>
      <w:rPr>
        <w:sz w:val="24"/>
        <w:rFonts w:ascii="Times New" w:hAnsi="Times New"/>
      </w:rPr>
      <w:fldChar w:fldCharType="separate"/>
    </w:r>
    <w:r>
      <w:rPr>
        <w:sz w:val="24"/>
        <w:rFonts w:ascii="Times New" w:hAnsi="Times New"/>
      </w:rPr>
      <w:t>16</w:t>
    </w:r>
    <w:r>
      <w:rPr>
        <w:sz w:val="24"/>
        <w:rFonts w:ascii="Times New" w:hAnsi="Times New"/>
      </w:rPr>
      <w:fldChar w:fldCharType="end"/>
    </w:r>
  </w:p>
</w:hdr>
</file>

<file path=word/settings.xml><?xml version="1.0" encoding="utf-8"?>
<w:settings xmlns:w="http://schemas.openxmlformats.org/wordprocessingml/2006/main">
  <w:zoom w:percent="100"/>
  <w:defaultTabStop w:val="720"/>
  <w:autoHyphenation w:val="true"/>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Courier" w:hAnsi="Courier" w:eastAsia="Times New" w:cs="WP TypographicSymbols"/>
      <w:color w:val="auto"/>
      <w:kern w:val="2"/>
      <w:sz w:val="20"/>
      <w:szCs w:val="24"/>
      <w:lang w:val="en-CA" w:eastAsia="zh-CN" w:bidi="hi-IN"/>
    </w:rPr>
  </w:style>
  <w:style w:type="character" w:styleId="DefaultPara">
    <w:name w:val="Default Para"/>
    <w:qFormat/>
    <w:rPr/>
  </w:style>
  <w:style w:type="character" w:styleId="footnotetex">
    <w:name w:val="footnote tex"/>
    <w:qFormat/>
    <w:rPr>
      <w:rFonts w:ascii="Times New Roman" w:hAnsi="Times New Roman"/>
      <w:sz w:val="20"/>
    </w:rPr>
  </w:style>
  <w:style w:type="character" w:styleId="ParNum">
    <w:name w:val="ParNum"/>
    <w:qFormat/>
    <w:rPr>
      <w:b/>
    </w:rPr>
  </w:style>
  <w:style w:type="character" w:styleId="Subheading">
    <w:name w:val="Subheading"/>
    <w:qFormat/>
    <w:rPr>
      <w:b/>
    </w:rPr>
  </w:style>
  <w:style w:type="character" w:styleId="RightPar">
    <w:name w:val="Right Par"/>
    <w:qFormat/>
    <w:rPr>
      <w:b/>
    </w:rPr>
  </w:style>
  <w:style w:type="character" w:styleId="Heading">
    <w:name w:val="Heading"/>
    <w:qFormat/>
    <w:rPr>
      <w:b/>
    </w:rPr>
  </w:style>
  <w:style w:type="character" w:styleId="DocInit">
    <w:name w:val="Doc Init"/>
    <w:qFormat/>
    <w:rPr>
      <w:b/>
    </w:rPr>
  </w:style>
  <w:style w:type="character" w:styleId="Bibliogrphy">
    <w:name w:val="Bibliogrphy"/>
    <w:qFormat/>
    <w:rPr>
      <w:b/>
    </w:rPr>
  </w:style>
  <w:style w:type="character" w:styleId="FootnoteCharacters">
    <w:name w:val="Footnote Characters"/>
    <w:qFormat/>
    <w:rPr/>
  </w:style>
  <w:style w:type="character" w:styleId="EndnoteCharacters">
    <w:name w:val="End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4">
    <w:name w:val="1AutoList4"/>
    <w:qFormat/>
    <w:pPr>
      <w:widowControl w:val="false"/>
      <w:tabs>
        <w:tab w:val="left" w:pos="720" w:leader="none"/>
      </w:tabs>
      <w:bidi w:val="0"/>
      <w:spacing w:lineRule="atLeast" w:line="0"/>
      <w:ind w:hanging="720" w:start="720"/>
      <w:jc w:val="both"/>
    </w:pPr>
    <w:rPr>
      <w:rFonts w:ascii="Courier" w:hAnsi="Courier" w:eastAsia="Times New" w:cs="WP TypographicSymbols"/>
      <w:color w:val="auto"/>
      <w:kern w:val="2"/>
      <w:sz w:val="24"/>
      <w:szCs w:val="24"/>
      <w:lang w:val="en-CA" w:eastAsia="zh-CN" w:bidi="hi-IN"/>
    </w:rPr>
  </w:style>
  <w:style w:type="paragraph" w:styleId="2AutoList4">
    <w:name w:val="2AutoList4"/>
    <w:qFormat/>
    <w:pPr>
      <w:widowControl w:val="false"/>
      <w:tabs>
        <w:tab w:val="left" w:pos="720" w:leader="none"/>
        <w:tab w:val="left" w:pos="1440" w:leader="none"/>
      </w:tabs>
      <w:bidi w:val="0"/>
      <w:spacing w:lineRule="atLeast" w:line="0"/>
      <w:ind w:hanging="720" w:start="1440"/>
      <w:jc w:val="both"/>
    </w:pPr>
    <w:rPr>
      <w:rFonts w:ascii="Courier" w:hAnsi="Courier" w:eastAsia="Times New" w:cs="WP TypographicSymbols"/>
      <w:color w:val="auto"/>
      <w:kern w:val="2"/>
      <w:sz w:val="26"/>
      <w:szCs w:val="24"/>
      <w:lang w:val="en-CA" w:eastAsia="zh-CN" w:bidi="hi-IN"/>
    </w:rPr>
  </w:style>
  <w:style w:type="paragraph" w:styleId="3AutoList4">
    <w:name w:val="3AutoList4"/>
    <w:qFormat/>
    <w:pPr>
      <w:widowControl w:val="false"/>
      <w:tabs>
        <w:tab w:val="left" w:pos="720" w:leader="none"/>
        <w:tab w:val="left" w:pos="1440" w:leader="none"/>
        <w:tab w:val="left" w:pos="2160" w:leader="none"/>
      </w:tabs>
      <w:bidi w:val="0"/>
      <w:spacing w:lineRule="atLeast" w:line="0"/>
      <w:ind w:hanging="720" w:start="2160"/>
      <w:jc w:val="both"/>
    </w:pPr>
    <w:rPr>
      <w:rFonts w:ascii="Courier" w:hAnsi="Courier" w:eastAsia="Times New" w:cs="WP TypographicSymbols"/>
      <w:color w:val="auto"/>
      <w:kern w:val="2"/>
      <w:sz w:val="24"/>
      <w:szCs w:val="24"/>
      <w:lang w:val="en-CA" w:eastAsia="zh-CN" w:bidi="hi-IN"/>
    </w:rPr>
  </w:style>
  <w:style w:type="paragraph" w:styleId="4AutoList4">
    <w:name w:val="4AutoList4"/>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Courier" w:hAnsi="Courier" w:eastAsia="Times New" w:cs="WP TypographicSymbols"/>
      <w:color w:val="auto"/>
      <w:kern w:val="2"/>
      <w:sz w:val="24"/>
      <w:szCs w:val="24"/>
      <w:lang w:val="en-CA" w:eastAsia="zh-CN" w:bidi="hi-IN"/>
    </w:rPr>
  </w:style>
  <w:style w:type="paragraph" w:styleId="5AutoList4">
    <w:name w:val="5AutoList4"/>
    <w:qFormat/>
    <w:pPr>
      <w:widowControl w:val="false"/>
      <w:bidi w:val="0"/>
      <w:spacing w:lineRule="atLeast" w:line="0"/>
      <w:ind w:start="-1440"/>
      <w:jc w:val="both"/>
    </w:pPr>
    <w:rPr>
      <w:rFonts w:ascii="Courier" w:hAnsi="Courier" w:eastAsia="Times New" w:cs="WP TypographicSymbols"/>
      <w:color w:val="auto"/>
      <w:kern w:val="2"/>
      <w:sz w:val="24"/>
      <w:szCs w:val="24"/>
      <w:lang w:val="en-CA" w:eastAsia="zh-CN" w:bidi="hi-IN"/>
    </w:rPr>
  </w:style>
  <w:style w:type="paragraph" w:styleId="6AutoList4">
    <w:name w:val="6AutoList4"/>
    <w:qFormat/>
    <w:pPr>
      <w:widowControl w:val="false"/>
      <w:bidi w:val="0"/>
      <w:spacing w:lineRule="atLeast" w:line="0"/>
      <w:ind w:start="-1440"/>
      <w:jc w:val="both"/>
    </w:pPr>
    <w:rPr>
      <w:rFonts w:ascii="Courier" w:hAnsi="Courier" w:eastAsia="Times New" w:cs="WP TypographicSymbols"/>
      <w:color w:val="auto"/>
      <w:kern w:val="2"/>
      <w:sz w:val="24"/>
      <w:szCs w:val="24"/>
      <w:lang w:val="en-CA" w:eastAsia="zh-CN" w:bidi="hi-IN"/>
    </w:rPr>
  </w:style>
  <w:style w:type="paragraph" w:styleId="7AutoList4">
    <w:name w:val="7AutoList4"/>
    <w:qFormat/>
    <w:pPr>
      <w:widowControl w:val="false"/>
      <w:bidi w:val="0"/>
      <w:spacing w:lineRule="atLeast" w:line="0"/>
      <w:ind w:start="-1440"/>
      <w:jc w:val="both"/>
    </w:pPr>
    <w:rPr>
      <w:rFonts w:ascii="Courier" w:hAnsi="Courier" w:eastAsia="Times New" w:cs="WP TypographicSymbols"/>
      <w:color w:val="auto"/>
      <w:kern w:val="2"/>
      <w:sz w:val="24"/>
      <w:szCs w:val="24"/>
      <w:lang w:val="en-CA" w:eastAsia="zh-CN" w:bidi="hi-IN"/>
    </w:rPr>
  </w:style>
  <w:style w:type="paragraph" w:styleId="8AutoList4">
    <w:name w:val="8AutoList4"/>
    <w:qFormat/>
    <w:pPr>
      <w:widowControl w:val="false"/>
      <w:bidi w:val="0"/>
      <w:spacing w:lineRule="atLeast" w:line="0"/>
      <w:ind w:start="-1440"/>
      <w:jc w:val="both"/>
    </w:pPr>
    <w:rPr>
      <w:rFonts w:ascii="Courier" w:hAnsi="Courier" w:eastAsia="Times New" w:cs="WP TypographicSymbols"/>
      <w:color w:val="auto"/>
      <w:kern w:val="2"/>
      <w:sz w:val="24"/>
      <w:szCs w:val="24"/>
      <w:lang w:val="en-CA" w:eastAsia="zh-CN" w:bidi="hi-IN"/>
    </w:rPr>
  </w:style>
  <w:style w:type="paragraph" w:styleId="1AutoList3">
    <w:name w:val="1AutoList3"/>
    <w:qFormat/>
    <w:pPr>
      <w:widowControl w:val="false"/>
      <w:tabs>
        <w:tab w:val="left" w:pos="720" w:leader="none"/>
      </w:tabs>
      <w:bidi w:val="0"/>
      <w:spacing w:lineRule="atLeast" w:line="0"/>
      <w:ind w:hanging="720" w:start="720"/>
      <w:jc w:val="both"/>
    </w:pPr>
    <w:rPr>
      <w:rFonts w:ascii="Courier" w:hAnsi="Courier" w:eastAsia="Times New" w:cs="WP TypographicSymbols"/>
      <w:color w:val="auto"/>
      <w:kern w:val="2"/>
      <w:sz w:val="24"/>
      <w:szCs w:val="24"/>
      <w:lang w:val="en-CA" w:eastAsia="zh-CN" w:bidi="hi-IN"/>
    </w:rPr>
  </w:style>
  <w:style w:type="paragraph" w:styleId="2AutoList3">
    <w:name w:val="2AutoList3"/>
    <w:qFormat/>
    <w:pPr>
      <w:widowControl w:val="false"/>
      <w:tabs>
        <w:tab w:val="left" w:pos="720" w:leader="none"/>
        <w:tab w:val="left" w:pos="1440" w:leader="none"/>
      </w:tabs>
      <w:bidi w:val="0"/>
      <w:spacing w:lineRule="atLeast" w:line="0"/>
      <w:ind w:hanging="720" w:start="1440"/>
      <w:jc w:val="both"/>
    </w:pPr>
    <w:rPr>
      <w:rFonts w:ascii="Courier" w:hAnsi="Courier" w:eastAsia="Times New" w:cs="WP TypographicSymbols"/>
      <w:color w:val="auto"/>
      <w:kern w:val="2"/>
      <w:sz w:val="26"/>
      <w:szCs w:val="24"/>
      <w:lang w:val="en-CA" w:eastAsia="zh-CN" w:bidi="hi-IN"/>
    </w:rPr>
  </w:style>
  <w:style w:type="paragraph" w:styleId="3AutoList3">
    <w:name w:val="3AutoList3"/>
    <w:qFormat/>
    <w:pPr>
      <w:widowControl w:val="false"/>
      <w:tabs>
        <w:tab w:val="left" w:pos="720" w:leader="none"/>
        <w:tab w:val="left" w:pos="1440" w:leader="none"/>
        <w:tab w:val="left" w:pos="2160" w:leader="none"/>
      </w:tabs>
      <w:bidi w:val="0"/>
      <w:spacing w:lineRule="atLeast" w:line="0"/>
      <w:ind w:hanging="720" w:start="2160"/>
      <w:jc w:val="both"/>
    </w:pPr>
    <w:rPr>
      <w:rFonts w:ascii="Courier" w:hAnsi="Courier" w:eastAsia="Times New" w:cs="WP TypographicSymbols"/>
      <w:color w:val="auto"/>
      <w:kern w:val="2"/>
      <w:sz w:val="24"/>
      <w:szCs w:val="24"/>
      <w:lang w:val="en-CA" w:eastAsia="zh-CN" w:bidi="hi-IN"/>
    </w:rPr>
  </w:style>
  <w:style w:type="paragraph" w:styleId="4AutoList3">
    <w:name w:val="4AutoList3"/>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Courier" w:hAnsi="Courier" w:eastAsia="Times New" w:cs="WP TypographicSymbols"/>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Courier" w:hAnsi="Courier" w:eastAsia="Times New" w:cs="WP TypographicSymbols"/>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Courier" w:hAnsi="Courier" w:eastAsia="Times New" w:cs="WP TypographicSymbols"/>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Courier" w:hAnsi="Courier" w:eastAsia="Times New" w:cs="WP TypographicSymbols"/>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Courier" w:hAnsi="Courier" w:eastAsia="Times New" w:cs="WP TypographicSymbols"/>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Courier" w:hAnsi="Courier" w:eastAsia="Times New" w:cs="WP TypographicSymbols"/>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Courier" w:hAnsi="Courier" w:eastAsia="Times New" w:cs="WP TypographicSymbols"/>
      <w:color w:val="auto"/>
      <w:kern w:val="2"/>
      <w:sz w:val="26"/>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Courier" w:hAnsi="Courier" w:eastAsia="Times New" w:cs="WP TypographicSymbols"/>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Courier" w:hAnsi="Courier" w:eastAsia="Times New" w:cs="WP TypographicSymbols"/>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Courier" w:hAnsi="Courier" w:eastAsia="Times New" w:cs="WP TypographicSymbols"/>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Courier" w:hAnsi="Courier" w:eastAsia="Times New" w:cs="WP TypographicSymbols"/>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Courier" w:hAnsi="Courier" w:eastAsia="Times New" w:cs="WP TypographicSymbols"/>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Courier" w:hAnsi="Courier" w:eastAsia="Times New" w:cs="WP TypographicSymbols"/>
      <w:color w:val="auto"/>
      <w:kern w:val="2"/>
      <w:sz w:val="24"/>
      <w:szCs w:val="24"/>
      <w:lang w:val="en-CA" w:eastAsia="zh-CN" w:bidi="hi-IN"/>
    </w:rPr>
  </w:style>
  <w:style w:type="paragraph" w:styleId="12">
    <w:name w:val="12"/>
    <w:qFormat/>
    <w:pPr>
      <w:widowControl w:val="false"/>
      <w:tabs>
        <w:tab w:val="left" w:pos="720" w:leader="none"/>
      </w:tabs>
      <w:bidi w:val="0"/>
      <w:spacing w:lineRule="atLeast" w:line="0"/>
      <w:ind w:hanging="1440" w:start="720"/>
      <w:jc w:val="both"/>
    </w:pPr>
    <w:rPr>
      <w:rFonts w:ascii="Courier" w:hAnsi="Courier" w:eastAsia="Times New" w:cs="WP TypographicSymbols"/>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Courier" w:hAnsi="Courier" w:eastAsia="Times New" w:cs="WP TypographicSymbols"/>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Courier" w:hAnsi="Courier" w:eastAsia="Times New" w:cs="WP TypographicSymbols"/>
      <w:color w:val="auto"/>
      <w:kern w:val="2"/>
      <w:sz w:val="24"/>
      <w:szCs w:val="24"/>
      <w:lang w:val="en-CA" w:eastAsia="zh-CN" w:bidi="hi-IN"/>
    </w:rPr>
  </w:style>
  <w:style w:type="paragraph" w:styleId="42">
    <w:name w:val="42"/>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Courier" w:hAnsi="Courier" w:eastAsia="Times New" w:cs="WP TypographicSymbols"/>
      <w:color w:val="auto"/>
      <w:kern w:val="2"/>
      <w:sz w:val="24"/>
      <w:szCs w:val="24"/>
      <w:lang w:val="en-CA" w:eastAsia="zh-CN" w:bidi="hi-IN"/>
    </w:rPr>
  </w:style>
  <w:style w:type="paragraph" w:styleId="52">
    <w:name w:val="52"/>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6480" w:start="3600"/>
      <w:jc w:val="both"/>
    </w:pPr>
    <w:rPr>
      <w:rFonts w:ascii="Courier" w:hAnsi="Courier" w:eastAsia="Times New" w:cs="WP TypographicSymbols"/>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Courier" w:hAnsi="Courier" w:eastAsia="Times New" w:cs="WP TypographicSymbols"/>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Courier" w:hAnsi="Courier" w:eastAsia="Times New" w:cs="WP TypographicSymbols"/>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Courier" w:hAnsi="Courier" w:eastAsia="Times New" w:cs="WP TypographicSymbols"/>
      <w:color w:val="auto"/>
      <w:kern w:val="2"/>
      <w:sz w:val="24"/>
      <w:szCs w:val="24"/>
      <w:lang w:val="en-CA" w:eastAsia="zh-CN" w:bidi="hi-IN"/>
    </w:rPr>
  </w:style>
  <w:style w:type="paragraph" w:styleId="1Kathy">
    <w:name w:val="1Kathy"/>
    <w:qFormat/>
    <w:pPr>
      <w:widowControl w:val="false"/>
      <w:bidi w:val="0"/>
    </w:pPr>
    <w:rPr>
      <w:rFonts w:ascii="Courier" w:hAnsi="Courier" w:eastAsia="Times New" w:cs="WP TypographicSymbols"/>
      <w:color w:val="auto"/>
      <w:kern w:val="2"/>
      <w:sz w:val="24"/>
      <w:szCs w:val="24"/>
      <w:lang w:val="en-CA" w:eastAsia="zh-CN" w:bidi="hi-IN"/>
    </w:rPr>
  </w:style>
  <w:style w:type="paragraph" w:styleId="2Kathy">
    <w:name w:val="2Kathy"/>
    <w:qFormat/>
    <w:pPr>
      <w:widowControl w:val="false"/>
      <w:bidi w:val="0"/>
      <w:spacing w:lineRule="atLeast" w:line="0"/>
      <w:ind w:start="720"/>
      <w:jc w:val="both"/>
    </w:pPr>
    <w:rPr>
      <w:rFonts w:ascii="Courier" w:hAnsi="Courier" w:eastAsia="Times New" w:cs="WP TypographicSymbols"/>
      <w:color w:val="auto"/>
      <w:kern w:val="2"/>
      <w:sz w:val="24"/>
      <w:szCs w:val="24"/>
      <w:lang w:val="en-CA" w:eastAsia="zh-CN" w:bidi="hi-IN"/>
    </w:rPr>
  </w:style>
  <w:style w:type="paragraph" w:styleId="3Kathy">
    <w:name w:val="3Kathy"/>
    <w:qFormat/>
    <w:pPr>
      <w:widowControl w:val="false"/>
      <w:bidi w:val="0"/>
      <w:spacing w:lineRule="atLeast" w:line="0"/>
      <w:ind w:start="1440"/>
      <w:jc w:val="both"/>
    </w:pPr>
    <w:rPr>
      <w:rFonts w:ascii="Courier" w:hAnsi="Courier" w:eastAsia="Times New" w:cs="WP TypographicSymbols"/>
      <w:color w:val="auto"/>
      <w:kern w:val="2"/>
      <w:sz w:val="24"/>
      <w:szCs w:val="24"/>
      <w:lang w:val="en-CA" w:eastAsia="zh-CN" w:bidi="hi-IN"/>
    </w:rPr>
  </w:style>
  <w:style w:type="paragraph" w:styleId="4Kathy">
    <w:name w:val="4Kathy"/>
    <w:qFormat/>
    <w:pPr>
      <w:widowControl w:val="false"/>
      <w:bidi w:val="0"/>
      <w:spacing w:lineRule="atLeast" w:line="0"/>
      <w:ind w:start="2160"/>
      <w:jc w:val="both"/>
    </w:pPr>
    <w:rPr>
      <w:rFonts w:ascii="Courier" w:hAnsi="Courier" w:eastAsia="Times New" w:cs="WP TypographicSymbols"/>
      <w:color w:val="auto"/>
      <w:kern w:val="2"/>
      <w:sz w:val="24"/>
      <w:szCs w:val="24"/>
      <w:lang w:val="en-CA" w:eastAsia="zh-CN" w:bidi="hi-IN"/>
    </w:rPr>
  </w:style>
  <w:style w:type="paragraph" w:styleId="5Kathy">
    <w:name w:val="5Kathy"/>
    <w:qFormat/>
    <w:pPr>
      <w:widowControl w:val="false"/>
      <w:bidi w:val="0"/>
      <w:spacing w:lineRule="atLeast" w:line="0"/>
      <w:ind w:start="2880"/>
      <w:jc w:val="both"/>
    </w:pPr>
    <w:rPr>
      <w:rFonts w:ascii="Courier" w:hAnsi="Courier" w:eastAsia="Times New" w:cs="WP TypographicSymbols"/>
      <w:color w:val="auto"/>
      <w:kern w:val="2"/>
      <w:sz w:val="24"/>
      <w:szCs w:val="24"/>
      <w:lang w:val="en-CA" w:eastAsia="zh-CN" w:bidi="hi-IN"/>
    </w:rPr>
  </w:style>
  <w:style w:type="paragraph" w:styleId="6Kathy">
    <w:name w:val="6Kathy"/>
    <w:qFormat/>
    <w:pPr>
      <w:widowControl w:val="false"/>
      <w:bidi w:val="0"/>
      <w:spacing w:lineRule="atLeast" w:line="0"/>
      <w:ind w:start="3600"/>
      <w:jc w:val="both"/>
    </w:pPr>
    <w:rPr>
      <w:rFonts w:ascii="Courier" w:hAnsi="Courier" w:eastAsia="Times New" w:cs="WP TypographicSymbols"/>
      <w:color w:val="auto"/>
      <w:kern w:val="2"/>
      <w:sz w:val="24"/>
      <w:szCs w:val="24"/>
      <w:lang w:val="en-CA" w:eastAsia="zh-CN" w:bidi="hi-IN"/>
    </w:rPr>
  </w:style>
  <w:style w:type="paragraph" w:styleId="7Kathy">
    <w:name w:val="7Kathy"/>
    <w:qFormat/>
    <w:pPr>
      <w:widowControl w:val="false"/>
      <w:bidi w:val="0"/>
      <w:spacing w:lineRule="atLeast" w:line="0"/>
      <w:ind w:start="4320"/>
      <w:jc w:val="both"/>
    </w:pPr>
    <w:rPr>
      <w:rFonts w:ascii="Courier" w:hAnsi="Courier" w:eastAsia="Times New" w:cs="WP TypographicSymbols"/>
      <w:color w:val="auto"/>
      <w:kern w:val="2"/>
      <w:sz w:val="24"/>
      <w:szCs w:val="24"/>
      <w:lang w:val="en-CA" w:eastAsia="zh-CN" w:bidi="hi-IN"/>
    </w:rPr>
  </w:style>
  <w:style w:type="paragraph" w:styleId="8Kathy">
    <w:name w:val="8Kathy"/>
    <w:qFormat/>
    <w:pPr>
      <w:widowControl w:val="false"/>
      <w:bidi w:val="0"/>
      <w:spacing w:lineRule="atLeast" w:line="0"/>
      <w:ind w:start="5040"/>
      <w:jc w:val="both"/>
    </w:pPr>
    <w:rPr>
      <w:rFonts w:ascii="Courier" w:hAnsi="Courier" w:eastAsia="Times New" w:cs="WP TypographicSymbols"/>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Courier" w:hAnsi="Courier" w:eastAsia="Times New" w:cs="WP TypographicSymbols"/>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Courier" w:hAnsi="Courier" w:eastAsia="Times New" w:cs="WP TypographicSymbols"/>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Courier" w:hAnsi="Courier" w:eastAsia="Times New" w:cs="WP TypographicSymbols"/>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Courier" w:hAnsi="Courier" w:eastAsia="Times New" w:cs="WP TypographicSymbols"/>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Courier" w:hAnsi="Courier" w:eastAsia="Times New" w:cs="WP TypographicSymbols"/>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Courier" w:hAnsi="Courier" w:eastAsia="Times New" w:cs="WP TypographicSymbols"/>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Courier" w:hAnsi="Courier" w:eastAsia="Times New" w:cs="WP TypographicSymbols"/>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Courier" w:hAnsi="Courier" w:eastAsia="Times New" w:cs="WP TypographicSymbols"/>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Courier" w:hAnsi="Courier" w:eastAsia="Times New" w:cs="WP TypographicSymbols"/>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Courier" w:hAnsi="Courier" w:eastAsia="Times New" w:cs="WP TypographicSymbols"/>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Courier" w:hAnsi="Courier" w:eastAsia="Times New" w:cs="WP TypographicSymbols"/>
      <w:color w:val="auto"/>
      <w:kern w:val="2"/>
      <w:sz w:val="24"/>
      <w:szCs w:val="24"/>
      <w:lang w:val="en-CA" w:eastAsia="zh-CN" w:bidi="hi-IN"/>
    </w:rPr>
  </w:style>
  <w:style w:type="paragraph" w:styleId="4Document">
    <w:name w:val="4Document"/>
    <w:qFormat/>
    <w:pPr>
      <w:widowControl w:val="false"/>
      <w:bidi w:val="0"/>
    </w:pPr>
    <w:rPr>
      <w:rFonts w:ascii="Courier" w:hAnsi="Courier" w:eastAsia="Times New" w:cs="WP TypographicSymbols"/>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Courier" w:hAnsi="Courier" w:eastAsia="Times New" w:cs="WP TypographicSymbols"/>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Courier" w:hAnsi="Courier" w:eastAsia="Times New" w:cs="WP TypographicSymbols"/>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Courier" w:hAnsi="Courier" w:eastAsia="Times New" w:cs="WP TypographicSymbols"/>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Courier" w:hAnsi="Courier" w:eastAsia="Times New" w:cs="WP TypographicSymbols"/>
      <w:color w:val="auto"/>
      <w:kern w:val="2"/>
      <w:sz w:val="24"/>
      <w:szCs w:val="24"/>
      <w:lang w:val="en-CA" w:eastAsia="zh-CN" w:bidi="hi-IN"/>
    </w:rPr>
  </w:style>
  <w:style w:type="paragraph" w:styleId="KMCLhdFull">
    <w:name w:val="KMC Lhd Full"/>
    <w:qFormat/>
    <w:pPr>
      <w:widowControl w:val="false"/>
      <w:bidi w:val="0"/>
    </w:pPr>
    <w:rPr>
      <w:rFonts w:ascii="Courier" w:hAnsi="Courier" w:eastAsia="Times New" w:cs="WP TypographicSymbols"/>
      <w:color w:val="auto"/>
      <w:kern w:val="2"/>
      <w:sz w:val="24"/>
      <w:szCs w:val="24"/>
      <w:lang w:val="en-CA" w:eastAsia="zh-CN" w:bidi="hi-IN"/>
    </w:rPr>
  </w:style>
  <w:style w:type="paragraph" w:styleId="KMSLhdFull">
    <w:name w:val="KMS Lhd Full"/>
    <w:qFormat/>
    <w:pPr>
      <w:widowControl w:val="false"/>
      <w:bidi w:val="0"/>
    </w:pPr>
    <w:rPr>
      <w:rFonts w:ascii="Courier" w:hAnsi="Courier" w:eastAsia="Times New" w:cs="WP TypographicSymbols"/>
      <w:color w:val="auto"/>
      <w:kern w:val="2"/>
      <w:sz w:val="24"/>
      <w:szCs w:val="24"/>
      <w:lang w:val="en-CA" w:eastAsia="zh-CN" w:bidi="hi-IN"/>
    </w:rPr>
  </w:style>
  <w:style w:type="paragraph" w:styleId="PGELhdFull">
    <w:name w:val="PGE Lhd Full"/>
    <w:qFormat/>
    <w:pPr>
      <w:widowControl w:val="false"/>
      <w:bidi w:val="0"/>
    </w:pPr>
    <w:rPr>
      <w:rFonts w:ascii="Courier" w:hAnsi="Courier" w:eastAsia="Times New" w:cs="WP TypographicSymbols"/>
      <w:color w:val="auto"/>
      <w:kern w:val="2"/>
      <w:sz w:val="24"/>
      <w:szCs w:val="24"/>
      <w:lang w:val="en-CA" w:eastAsia="zh-CN" w:bidi="hi-IN"/>
    </w:rPr>
  </w:style>
  <w:style w:type="paragraph" w:styleId="EWHLhdFull">
    <w:name w:val="EWH Lhd Full"/>
    <w:qFormat/>
    <w:pPr>
      <w:widowControl w:val="false"/>
      <w:bidi w:val="0"/>
    </w:pPr>
    <w:rPr>
      <w:rFonts w:ascii="Courier" w:hAnsi="Courier" w:eastAsia="Times New" w:cs="WP TypographicSymbols"/>
      <w:color w:val="auto"/>
      <w:kern w:val="2"/>
      <w:sz w:val="24"/>
      <w:szCs w:val="24"/>
      <w:lang w:val="en-CA" w:eastAsia="zh-CN" w:bidi="hi-IN"/>
    </w:rPr>
  </w:style>
  <w:style w:type="paragraph" w:styleId="KMSPersonal">
    <w:name w:val="KMS Personal"/>
    <w:qFormat/>
    <w:pPr>
      <w:widowControl w:val="false"/>
      <w:bidi w:val="0"/>
    </w:pPr>
    <w:rPr>
      <w:rFonts w:ascii="Courier" w:hAnsi="Courier" w:eastAsia="Times New" w:cs="WP TypographicSymbols"/>
      <w:color w:val="auto"/>
      <w:kern w:val="2"/>
      <w:sz w:val="24"/>
      <w:szCs w:val="24"/>
      <w:lang w:val="en-CA" w:eastAsia="zh-CN" w:bidi="hi-IN"/>
    </w:rPr>
  </w:style>
  <w:style w:type="paragraph" w:styleId="DFJPersonal">
    <w:name w:val="DFJ Personal"/>
    <w:qFormat/>
    <w:pPr>
      <w:widowControl w:val="false"/>
      <w:bidi w:val="0"/>
    </w:pPr>
    <w:rPr>
      <w:rFonts w:ascii="Courier" w:hAnsi="Courier" w:eastAsia="Times New" w:cs="WP TypographicSymbols"/>
      <w:color w:val="auto"/>
      <w:kern w:val="2"/>
      <w:sz w:val="24"/>
      <w:szCs w:val="24"/>
      <w:lang w:val="en-CA" w:eastAsia="zh-CN" w:bidi="hi-IN"/>
    </w:rPr>
  </w:style>
  <w:style w:type="paragraph" w:styleId="PGEPersonal">
    <w:name w:val="PGE Personal"/>
    <w:qFormat/>
    <w:pPr>
      <w:widowControl w:val="false"/>
      <w:bidi w:val="0"/>
    </w:pPr>
    <w:rPr>
      <w:rFonts w:ascii="Courier" w:hAnsi="Courier" w:eastAsia="Times New" w:cs="WP TypographicSymbols"/>
      <w:color w:val="auto"/>
      <w:kern w:val="2"/>
      <w:sz w:val="24"/>
      <w:szCs w:val="24"/>
      <w:lang w:val="en-CA" w:eastAsia="zh-CN" w:bidi="hi-IN"/>
    </w:rPr>
  </w:style>
  <w:style w:type="paragraph" w:styleId="cips">
    <w:name w:val="cips"/>
    <w:qFormat/>
    <w:pPr>
      <w:widowControl w:val="false"/>
      <w:bidi w:val="0"/>
    </w:pPr>
    <w:rPr>
      <w:rFonts w:ascii="Courier" w:hAnsi="Courier" w:eastAsia="Times New" w:cs="WP TypographicSymbols"/>
      <w:color w:val="auto"/>
      <w:kern w:val="2"/>
      <w:sz w:val="24"/>
      <w:szCs w:val="24"/>
      <w:lang w:val="en-CA" w:eastAsia="zh-CN" w:bidi="hi-IN"/>
    </w:rPr>
  </w:style>
  <w:style w:type="paragraph" w:styleId="DFJLhdFull">
    <w:name w:val="DFJ Lhd Full"/>
    <w:qFormat/>
    <w:pPr>
      <w:widowControl w:val="false"/>
      <w:bidi w:val="0"/>
    </w:pPr>
    <w:rPr>
      <w:rFonts w:ascii="Courier" w:hAnsi="Courier" w:eastAsia="Times New" w:cs="WP TypographicSymbols"/>
      <w:color w:val="auto"/>
      <w:kern w:val="2"/>
      <w:sz w:val="24"/>
      <w:szCs w:val="24"/>
      <w:lang w:val="en-CA" w:eastAsia="zh-CN" w:bidi="hi-IN"/>
    </w:rPr>
  </w:style>
  <w:style w:type="paragraph" w:styleId="FirmLhdFul">
    <w:name w:val="Firm Lhd Ful"/>
    <w:qFormat/>
    <w:pPr>
      <w:widowControl w:val="false"/>
      <w:bidi w:val="0"/>
    </w:pPr>
    <w:rPr>
      <w:rFonts w:ascii="Courier" w:hAnsi="Courier" w:eastAsia="Times New" w:cs="WP TypographicSymbols"/>
      <w:color w:val="auto"/>
      <w:kern w:val="2"/>
      <w:sz w:val="24"/>
      <w:szCs w:val="24"/>
      <w:lang w:val="en-CA" w:eastAsia="zh-CN" w:bidi="hi-IN"/>
    </w:rPr>
  </w:style>
  <w:style w:type="paragraph" w:styleId="EWHPersonal">
    <w:name w:val="EWH Personal"/>
    <w:qFormat/>
    <w:pPr>
      <w:widowControl w:val="false"/>
      <w:bidi w:val="0"/>
    </w:pPr>
    <w:rPr>
      <w:rFonts w:ascii="Courier" w:hAnsi="Courier" w:eastAsia="Times New" w:cs="WP TypographicSymbols"/>
      <w:color w:val="auto"/>
      <w:kern w:val="2"/>
      <w:sz w:val="24"/>
      <w:szCs w:val="24"/>
      <w:lang w:val="en-CA" w:eastAsia="zh-CN" w:bidi="hi-IN"/>
    </w:rPr>
  </w:style>
  <w:style w:type="paragraph" w:styleId="KMCPersonal">
    <w:name w:val="KMC Personal"/>
    <w:qFormat/>
    <w:pPr>
      <w:widowControl w:val="false"/>
      <w:bidi w:val="0"/>
    </w:pPr>
    <w:rPr>
      <w:rFonts w:ascii="Courier" w:hAnsi="Courier" w:eastAsia="Times New" w:cs="WP TypographicSymbols"/>
      <w:color w:val="auto"/>
      <w:kern w:val="2"/>
      <w:sz w:val="24"/>
      <w:szCs w:val="24"/>
      <w:lang w:val="en-CA" w:eastAsia="zh-CN" w:bidi="hi-IN"/>
    </w:rPr>
  </w:style>
  <w:style w:type="paragraph" w:styleId="KMCsLtrhd">
    <w:name w:val="KMC's Ltrhd"/>
    <w:qFormat/>
    <w:pPr>
      <w:widowControl w:val="false"/>
      <w:bidi w:val="0"/>
    </w:pPr>
    <w:rPr>
      <w:rFonts w:ascii="Courier" w:hAnsi="Courier" w:eastAsia="Times New" w:cs="WP TypographicSymbols"/>
      <w:color w:val="auto"/>
      <w:kern w:val="2"/>
      <w:sz w:val="24"/>
      <w:szCs w:val="24"/>
      <w:lang w:val="en-CA" w:eastAsia="zh-CN" w:bidi="hi-IN"/>
    </w:rPr>
  </w:style>
  <w:style w:type="paragraph" w:styleId="KMSsLtrhd">
    <w:name w:val="KMS's Ltrhd"/>
    <w:qFormat/>
    <w:pPr>
      <w:widowControl w:val="false"/>
      <w:bidi w:val="0"/>
    </w:pPr>
    <w:rPr>
      <w:rFonts w:ascii="Courier" w:hAnsi="Courier" w:eastAsia="Times New" w:cs="WP TypographicSymbols"/>
      <w:color w:val="auto"/>
      <w:kern w:val="2"/>
      <w:sz w:val="24"/>
      <w:szCs w:val="24"/>
      <w:lang w:val="en-CA" w:eastAsia="zh-CN" w:bidi="hi-IN"/>
    </w:rPr>
  </w:style>
  <w:style w:type="paragraph" w:styleId="EWHsLtrhd">
    <w:name w:val="EWH's Ltrhd"/>
    <w:qFormat/>
    <w:pPr>
      <w:widowControl w:val="false"/>
      <w:bidi w:val="0"/>
    </w:pPr>
    <w:rPr>
      <w:rFonts w:ascii="Courier" w:hAnsi="Courier" w:eastAsia="Times New" w:cs="WP TypographicSymbols"/>
      <w:color w:val="auto"/>
      <w:kern w:val="2"/>
      <w:sz w:val="24"/>
      <w:szCs w:val="24"/>
      <w:lang w:val="en-CA" w:eastAsia="zh-CN" w:bidi="hi-IN"/>
    </w:rPr>
  </w:style>
  <w:style w:type="paragraph" w:styleId="DFJsLtrhd">
    <w:name w:val="DFJ's Ltrhd"/>
    <w:qFormat/>
    <w:pPr>
      <w:widowControl w:val="false"/>
      <w:bidi w:val="0"/>
    </w:pPr>
    <w:rPr>
      <w:rFonts w:ascii="Courier" w:hAnsi="Courier" w:eastAsia="Times New" w:cs="WP TypographicSymbols"/>
      <w:color w:val="auto"/>
      <w:kern w:val="2"/>
      <w:sz w:val="24"/>
      <w:szCs w:val="24"/>
      <w:lang w:val="en-CA" w:eastAsia="zh-CN" w:bidi="hi-IN"/>
    </w:rPr>
  </w:style>
  <w:style w:type="paragraph" w:styleId="PGEsLtrhd">
    <w:name w:val="PGE's Ltrhd"/>
    <w:qFormat/>
    <w:pPr>
      <w:widowControl w:val="false"/>
      <w:bidi w:val="0"/>
    </w:pPr>
    <w:rPr>
      <w:rFonts w:ascii="Courier" w:hAnsi="Courier" w:eastAsia="Times New" w:cs="WP TypographicSymbols"/>
      <w:color w:val="auto"/>
      <w:kern w:val="2"/>
      <w:sz w:val="24"/>
      <w:szCs w:val="24"/>
      <w:lang w:val="en-CA" w:eastAsia="zh-CN" w:bidi="hi-IN"/>
    </w:rPr>
  </w:style>
  <w:style w:type="paragraph" w:styleId="FirmLtrhd">
    <w:name w:val="Firm Ltrhd"/>
    <w:qFormat/>
    <w:pPr>
      <w:widowControl w:val="false"/>
      <w:bidi w:val="0"/>
    </w:pPr>
    <w:rPr>
      <w:rFonts w:ascii="Courier" w:hAnsi="Courier" w:eastAsia="Times New" w:cs="WP TypographicSymbols"/>
      <w:color w:val="auto"/>
      <w:kern w:val="2"/>
      <w:sz w:val="24"/>
      <w:szCs w:val="24"/>
      <w:lang w:val="en-CA" w:eastAsia="zh-CN" w:bidi="hi-IN"/>
    </w:rPr>
  </w:style>
  <w:style w:type="paragraph" w:styleId="Pleading">
    <w:name w:val="Pleading"/>
    <w:qFormat/>
    <w:pPr>
      <w:widowControl w:val="false"/>
      <w:bidi w:val="0"/>
    </w:pPr>
    <w:rPr>
      <w:rFonts w:ascii="Courier" w:hAnsi="Courier" w:eastAsia="Times New" w:cs="WP TypographicSymbols"/>
      <w:color w:val="auto"/>
      <w:kern w:val="2"/>
      <w:sz w:val="24"/>
      <w:szCs w:val="24"/>
      <w:lang w:val="en-CA" w:eastAsia="zh-CN" w:bidi="hi-IN"/>
    </w:rPr>
  </w:style>
  <w:style w:type="paragraph" w:styleId="TechInit">
    <w:name w:val="Tech Init"/>
    <w:qFormat/>
    <w:pPr>
      <w:widowControl w:val="false"/>
      <w:bidi w:val="0"/>
    </w:pPr>
    <w:rPr>
      <w:rFonts w:ascii="Courier" w:hAnsi="Courier" w:eastAsia="Times New" w:cs="WP TypographicSymbols"/>
      <w:color w:val="auto"/>
      <w:kern w:val="2"/>
      <w:sz w:val="24"/>
      <w:szCs w:val="24"/>
      <w:lang w:val="en-CA" w:eastAsia="zh-CN" w:bidi="hi-IN"/>
    </w:rPr>
  </w:style>
  <w:style w:type="paragraph" w:styleId="8">
    <w:name w:val="[8]"/>
    <w:qFormat/>
    <w:pPr>
      <w:widowControl w:val="false"/>
      <w:tabs>
        <w:tab w:val="left" w:pos="720" w:leader="none"/>
      </w:tabs>
      <w:bidi w:val="0"/>
      <w:spacing w:lineRule="atLeast" w:line="0"/>
    </w:pPr>
    <w:rPr>
      <w:rFonts w:ascii="Courier" w:hAnsi="Courier" w:eastAsia="Times New" w:cs="WP TypographicSymbols"/>
      <w:b/>
      <w:color w:val="auto"/>
      <w:kern w:val="2"/>
      <w:sz w:val="24"/>
      <w:szCs w:val="24"/>
      <w:lang w:val="en-CA" w:eastAsia="zh-CN" w:bidi="hi-IN"/>
    </w:rPr>
  </w:style>
  <w:style w:type="paragraph" w:styleId="7">
    <w:name w:val="[7]"/>
    <w:qFormat/>
    <w:pPr>
      <w:widowControl w:val="false"/>
      <w:bidi w:val="0"/>
      <w:spacing w:lineRule="atLeast" w:line="0"/>
    </w:pPr>
    <w:rPr>
      <w:rFonts w:ascii="Courier" w:hAnsi="Courier" w:eastAsia="Times New" w:cs="WP TypographicSymbols"/>
      <w:b/>
      <w:color w:val="auto"/>
      <w:kern w:val="2"/>
      <w:sz w:val="24"/>
      <w:szCs w:val="24"/>
      <w:lang w:val="en-CA" w:eastAsia="zh-CN" w:bidi="hi-IN"/>
    </w:rPr>
  </w:style>
  <w:style w:type="paragraph" w:styleId="6">
    <w:name w:val="[6]"/>
    <w:qFormat/>
    <w:pPr>
      <w:widowControl w:val="false"/>
      <w:bidi w:val="0"/>
      <w:spacing w:lineRule="atLeast" w:line="0"/>
    </w:pPr>
    <w:rPr>
      <w:rFonts w:ascii="Courier" w:hAnsi="Courier" w:eastAsia="Times New" w:cs="WP TypographicSymbols"/>
      <w:b/>
      <w:color w:val="auto"/>
      <w:kern w:val="2"/>
      <w:sz w:val="24"/>
      <w:szCs w:val="24"/>
      <w:lang w:val="en-CA" w:eastAsia="zh-CN" w:bidi="hi-IN"/>
    </w:rPr>
  </w:style>
  <w:style w:type="paragraph" w:styleId="5">
    <w:name w:val="[5]"/>
    <w:qFormat/>
    <w:pPr>
      <w:widowControl w:val="false"/>
      <w:bidi w:val="0"/>
      <w:spacing w:lineRule="atLeast" w:line="0"/>
    </w:pPr>
    <w:rPr>
      <w:rFonts w:ascii="Courier" w:hAnsi="Courier" w:eastAsia="Times New" w:cs="WP TypographicSymbols"/>
      <w:b/>
      <w:color w:val="auto"/>
      <w:kern w:val="2"/>
      <w:sz w:val="24"/>
      <w:szCs w:val="24"/>
      <w:lang w:val="en-CA" w:eastAsia="zh-CN" w:bidi="hi-IN"/>
    </w:rPr>
  </w:style>
  <w:style w:type="paragraph" w:styleId="1">
    <w:name w:val="[1]"/>
    <w:qFormat/>
    <w:pPr>
      <w:widowControl w:val="false"/>
      <w:bidi w:val="0"/>
      <w:spacing w:lineRule="atLeast" w:line="0"/>
    </w:pPr>
    <w:rPr>
      <w:rFonts w:ascii="Courier" w:hAnsi="Courier" w:eastAsia="Times New" w:cs="WP TypographicSymbols"/>
      <w:b/>
      <w:color w:val="auto"/>
      <w:kern w:val="2"/>
      <w:sz w:val="24"/>
      <w:szCs w:val="24"/>
      <w:lang w:val="en-CA" w:eastAsia="zh-CN" w:bidi="hi-IN"/>
    </w:rPr>
  </w:style>
  <w:style w:type="paragraph" w:styleId="2">
    <w:name w:val="[2]"/>
    <w:qFormat/>
    <w:pPr>
      <w:widowControl w:val="false"/>
      <w:bidi w:val="0"/>
      <w:spacing w:lineRule="atLeast" w:line="0"/>
    </w:pPr>
    <w:rPr>
      <w:rFonts w:ascii="Courier" w:hAnsi="Courier" w:eastAsia="Times New" w:cs="WP TypographicSymbols"/>
      <w:b/>
      <w:color w:val="auto"/>
      <w:kern w:val="2"/>
      <w:sz w:val="24"/>
      <w:szCs w:val="24"/>
      <w:lang w:val="en-CA" w:eastAsia="zh-CN" w:bidi="hi-IN"/>
    </w:rPr>
  </w:style>
  <w:style w:type="paragraph" w:styleId="4">
    <w:name w:val="[4]"/>
    <w:qFormat/>
    <w:pPr>
      <w:widowControl w:val="false"/>
      <w:bidi w:val="0"/>
      <w:spacing w:lineRule="atLeast" w:line="0"/>
    </w:pPr>
    <w:rPr>
      <w:rFonts w:ascii="Courier" w:hAnsi="Courier" w:eastAsia="Times New" w:cs="WP TypographicSymbols"/>
      <w:b/>
      <w:color w:val="auto"/>
      <w:kern w:val="2"/>
      <w:sz w:val="24"/>
      <w:szCs w:val="24"/>
      <w:lang w:val="en-CA" w:eastAsia="zh-CN" w:bidi="hi-IN"/>
    </w:rPr>
  </w:style>
  <w:style w:type="paragraph" w:styleId="3">
    <w:name w:val="[3]"/>
    <w:qFormat/>
    <w:pPr>
      <w:widowControl w:val="false"/>
      <w:bidi w:val="0"/>
      <w:spacing w:lineRule="atLeast" w:line="0"/>
    </w:pPr>
    <w:rPr>
      <w:rFonts w:ascii="Courier" w:hAnsi="Courier" w:eastAsia="Times New" w:cs="WP TypographicSymbols"/>
      <w:b/>
      <w:color w:val="auto"/>
      <w:kern w:val="2"/>
      <w:sz w:val="24"/>
      <w:szCs w:val="24"/>
      <w:lang w:val="en-CA" w:eastAsia="zh-CN" w:bidi="hi-IN"/>
    </w:rPr>
  </w:style>
  <w:style w:type="paragraph" w:styleId="FootnoteText">
    <w:name w:val="footnote text"/>
    <w:basedOn w:val="Normal"/>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