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pPr>
      <w:r>
        <w:rPr/>
        <w:t>April 25, 2000</w:t>
      </w:r>
    </w:p>
    <w:p>
      <w:pPr>
        <w:pStyle w:val="Normal"/>
        <w:jc w:val="center"/>
        <w:rPr/>
      </w:pPr>
      <w:r>
        <w:rPr/>
      </w:r>
    </w:p>
    <w:p>
      <w:pPr>
        <w:pStyle w:val="Normal"/>
        <w:rPr/>
      </w:pPr>
      <w:r>
        <w:rPr/>
      </w:r>
    </w:p>
    <w:p>
      <w:pPr>
        <w:pStyle w:val="Normal"/>
        <w:jc w:val="both"/>
        <w:rPr/>
      </w:pPr>
      <w:r>
        <w:rPr/>
        <w:t>Mr. Gregory Chafee</w:t>
      </w:r>
    </w:p>
    <w:p>
      <w:pPr>
        <w:pStyle w:val="Normal"/>
        <w:jc w:val="both"/>
        <w:rPr/>
      </w:pPr>
      <w:r>
        <w:rPr/>
        <w:t>Associate General Counsel</w:t>
        <w:tab/>
        <w:tab/>
        <w:tab/>
        <w:tab/>
        <w:tab/>
        <w:tab/>
      </w:r>
    </w:p>
    <w:p>
      <w:pPr>
        <w:pStyle w:val="Normal"/>
        <w:jc w:val="both"/>
        <w:rPr/>
      </w:pPr>
      <w:r>
        <w:rPr/>
        <w:t>Fort James Corporation</w:t>
      </w:r>
    </w:p>
    <w:p>
      <w:pPr>
        <w:pStyle w:val="Normal"/>
        <w:jc w:val="both"/>
        <w:rPr/>
      </w:pPr>
      <w:r>
        <w:rPr/>
        <w:t>P.O. Box 89</w:t>
      </w:r>
    </w:p>
    <w:p>
      <w:pPr>
        <w:pStyle w:val="Normal"/>
        <w:jc w:val="both"/>
        <w:rPr/>
      </w:pPr>
      <w:r>
        <w:rPr/>
        <w:t>Deerfield, Illinois 60015-0089</w:t>
      </w:r>
    </w:p>
    <w:p>
      <w:pPr>
        <w:pStyle w:val="Normal"/>
        <w:jc w:val="both"/>
        <w:rPr/>
      </w:pPr>
      <w:r>
        <w:rPr/>
      </w:r>
    </w:p>
    <w:p>
      <w:pPr>
        <w:pStyle w:val="Normal"/>
        <w:ind w:hanging="720" w:start="1440" w:end="0"/>
        <w:jc w:val="both"/>
        <w:rPr/>
      </w:pPr>
      <w:r>
        <w:rPr/>
        <w:t>Re:</w:t>
        <w:tab/>
        <w:t xml:space="preserve">No. 00 C 1533; </w:t>
      </w:r>
      <w:r>
        <w:rPr>
          <w:i/>
        </w:rPr>
        <w:t>Fort James Corporation v. Enron North America Corp. f/k/a Enron Capital &amp; Trade Resources Corp.</w:t>
      </w:r>
      <w:r>
        <w:rPr/>
        <w:t>; In the United States District Court for the Northern District of Illinois, Eastern Division</w:t>
      </w:r>
    </w:p>
    <w:p>
      <w:pPr>
        <w:pStyle w:val="Normal"/>
        <w:jc w:val="both"/>
        <w:rPr/>
      </w:pPr>
      <w:r>
        <w:rPr/>
      </w:r>
    </w:p>
    <w:p>
      <w:pPr>
        <w:pStyle w:val="Normal"/>
        <w:jc w:val="both"/>
        <w:rPr/>
      </w:pPr>
      <w:r>
        <w:rPr/>
        <w:t>Dear Greg:</w:t>
      </w:r>
    </w:p>
    <w:p>
      <w:pPr>
        <w:pStyle w:val="Normal"/>
        <w:jc w:val="both"/>
        <w:rPr/>
      </w:pPr>
      <w:r>
        <w:rPr/>
      </w:r>
    </w:p>
    <w:p>
      <w:pPr>
        <w:pStyle w:val="Normal"/>
        <w:jc w:val="both"/>
        <w:rPr/>
      </w:pPr>
      <w:r>
        <w:rPr/>
        <w:t>This letter is in response to your March 30, 2000 letter to me regarding settlement of the above referenced case.  Enron rejects Fort James’ settlement offer.  For the record, Enron will never agree to pay any money to Fort James as a result of their business dealings.  Enron has already paid Fort James $21 million and received nothing in return.</w:t>
      </w:r>
    </w:p>
    <w:p>
      <w:pPr>
        <w:pStyle w:val="Normal"/>
        <w:jc w:val="both"/>
        <w:rPr/>
      </w:pPr>
      <w:r>
        <w:rPr/>
      </w:r>
    </w:p>
    <w:p>
      <w:pPr>
        <w:pStyle w:val="Normal"/>
        <w:jc w:val="both"/>
        <w:rPr/>
      </w:pPr>
      <w:r>
        <w:rPr/>
        <w:t>I appreciate your efforts to continue the settlement talks.  However, at this point of our relationship, Enron is not confident that a settlement can be reached.  Enron is prepared to proceed with the extensive discovery necessary in this case and to take its chances with a jury.  As a final effort to resolve this case, I would propose a settlement along the following terms:</w:t>
      </w:r>
    </w:p>
    <w:p>
      <w:pPr>
        <w:pStyle w:val="Normal"/>
        <w:jc w:val="both"/>
        <w:rPr/>
      </w:pPr>
      <w:r>
        <w:rPr/>
      </w:r>
    </w:p>
    <w:p>
      <w:pPr>
        <w:pStyle w:val="Normal"/>
        <w:numPr>
          <w:ilvl w:val="0"/>
          <w:numId w:val="2"/>
        </w:numPr>
        <w:jc w:val="both"/>
        <w:rPr/>
      </w:pPr>
      <w:r>
        <w:rPr/>
        <w:t>Fort James pays Enron $4 million.</w:t>
      </w:r>
    </w:p>
    <w:p>
      <w:pPr>
        <w:pStyle w:val="Normal"/>
        <w:numPr>
          <w:ilvl w:val="0"/>
          <w:numId w:val="2"/>
        </w:numPr>
        <w:jc w:val="both"/>
        <w:rPr/>
      </w:pPr>
      <w:r>
        <w:rPr/>
        <w:t>The Wauna contract is canceled.</w:t>
      </w:r>
    </w:p>
    <w:p>
      <w:pPr>
        <w:pStyle w:val="Normal"/>
        <w:numPr>
          <w:ilvl w:val="0"/>
          <w:numId w:val="2"/>
        </w:numPr>
        <w:jc w:val="both"/>
        <w:rPr/>
      </w:pPr>
      <w:r>
        <w:rPr/>
        <w:t>The Halsey contract is canceled.</w:t>
      </w:r>
    </w:p>
    <w:p>
      <w:pPr>
        <w:pStyle w:val="Normal"/>
        <w:jc w:val="both"/>
        <w:rPr/>
      </w:pPr>
      <w:r>
        <w:rPr/>
      </w:r>
    </w:p>
    <w:p>
      <w:pPr>
        <w:pStyle w:val="Normal"/>
        <w:jc w:val="both"/>
        <w:rPr/>
      </w:pPr>
      <w:r>
        <w:rPr/>
        <w:t>I look forward to hearing from you regarding this matter.</w:t>
      </w:r>
    </w:p>
    <w:p>
      <w:pPr>
        <w:pStyle w:val="Normal"/>
        <w:jc w:val="both"/>
        <w:rPr/>
      </w:pPr>
      <w:r>
        <w:rPr/>
      </w:r>
    </w:p>
    <w:p>
      <w:pPr>
        <w:pStyle w:val="Normal"/>
        <w:jc w:val="both"/>
        <w:rPr/>
      </w:pPr>
      <w:r>
        <w:rPr/>
        <w:tab/>
        <w:tab/>
        <w:tab/>
        <w:tab/>
        <w:tab/>
        <w:t>Very truly yours,</w:t>
      </w:r>
    </w:p>
    <w:p>
      <w:pPr>
        <w:pStyle w:val="Normal"/>
        <w:jc w:val="both"/>
        <w:rPr/>
      </w:pPr>
      <w:r>
        <w:rPr/>
      </w:r>
    </w:p>
    <w:p>
      <w:pPr>
        <w:pStyle w:val="Normal"/>
        <w:jc w:val="both"/>
        <w:rPr/>
      </w:pPr>
      <w:r>
        <w:rPr/>
      </w:r>
    </w:p>
    <w:p>
      <w:pPr>
        <w:pStyle w:val="Normal"/>
        <w:jc w:val="both"/>
        <w:rPr/>
      </w:pPr>
      <w:r>
        <w:rPr/>
        <w:tab/>
        <w:tab/>
        <w:tab/>
        <w:tab/>
        <w:tab/>
        <w:t>Richard B. Sanders</w:t>
      </w:r>
    </w:p>
    <w:p>
      <w:pPr>
        <w:pStyle w:val="Normal"/>
        <w:jc w:val="both"/>
        <w:rPr/>
      </w:pPr>
      <w:r>
        <w:rPr/>
      </w:r>
    </w:p>
    <w:p>
      <w:pPr>
        <w:pStyle w:val="Normal"/>
        <w:jc w:val="both"/>
        <w:rPr/>
      </w:pPr>
      <w:r>
        <w:rPr/>
        <w:t>RBS/tys</w:t>
      </w:r>
    </w:p>
    <w:p>
      <w:pPr>
        <w:pStyle w:val="Normal"/>
        <w:jc w:val="both"/>
        <w:rPr/>
      </w:pPr>
      <w:r>
        <w:rPr/>
        <w:t>Enclosure</w:t>
      </w:r>
    </w:p>
    <w:p>
      <w:pPr>
        <w:pStyle w:val="Normal"/>
        <w:jc w:val="both"/>
        <w:rPr/>
      </w:pPr>
      <w:r>
        <w:rPr/>
      </w:r>
    </w:p>
    <w:p>
      <w:pPr>
        <w:pStyle w:val="Normal"/>
        <w:jc w:val="both"/>
        <w:rPr/>
      </w:pPr>
      <w:r>
        <w:rPr/>
        <w:t>cc:</w:t>
        <w:tab/>
        <w:t>Dave Delainey</w:t>
      </w:r>
    </w:p>
    <w:p>
      <w:pPr>
        <w:pStyle w:val="Normal"/>
        <w:ind w:firstLine="720" w:end="0"/>
        <w:jc w:val="both"/>
        <w:rPr/>
      </w:pPr>
      <w:r>
        <w:rPr/>
        <w:t>Mark Haedicke</w:t>
      </w:r>
    </w:p>
    <w:sectPr>
      <w:footerReference w:type="default" r:id="rId2"/>
      <w:type w:val="nextPage"/>
      <w:pgSz w:w="12240" w:h="15840"/>
      <w:pgMar w:left="1152" w:right="1152" w:gutter="0" w:header="0" w:top="1440" w:footer="288"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/mnt/main-storage/datasets/enron-docs/doc/Gregory_Chafee_4_25_00.doc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firstLine="720" w:start="4320" w:end="0"/>
      <w:jc w:val="both"/>
      <w:outlineLvl w:val="0"/>
    </w:pPr>
    <w:rPr>
      <w:b/>
    </w:rPr>
  </w:style>
  <w:style w:type="character" w:styleId="WW8Num1z0">
    <w:name w:val="WW8Num1z0"/>
    <w:qFormat/>
    <w:rPr/>
  </w:style>
  <w:style w:type="character" w:styleId="WW8Num2z0">
    <w:name w:val="WW8Num2z0"/>
    <w:qFormat/>
    <w:rPr>
      <w:rFonts w:ascii="Times New Roman" w:hAnsi="Times New Roman" w:cs="Times New Roman"/>
      <w:b w:val="false"/>
      <w:i w:val="false"/>
      <w:sz w:val="24"/>
    </w:rPr>
  </w:style>
  <w:style w:type="character" w:styleId="WW8Num3z0">
    <w:name w:val="WW8Num3z0"/>
    <w:qFormat/>
    <w:rPr>
      <w:rFonts w:ascii="Times New Roman" w:hAnsi="Times New Roman" w:cs="Times New Roman"/>
      <w:b w:val="false"/>
      <w:i w:val="false"/>
      <w:sz w:val="24"/>
    </w:rPr>
  </w:style>
  <w:style w:type="character" w:styleId="WW8Num4z0">
    <w:name w:val="WW8Num4z0"/>
    <w:qFormat/>
    <w:rPr>
      <w:rFonts w:ascii="Times New Roman" w:hAnsi="Times New Roman" w:cs="Times New Roman"/>
      <w:b w:val="false"/>
      <w:i w:val="false"/>
      <w:sz w:val="24"/>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cs="Times New Roman"/>
      <w:b w:val="false"/>
      <w:i w:val="false"/>
      <w:sz w:val="24"/>
    </w:rPr>
  </w:style>
  <w:style w:type="character" w:styleId="WW8Num9z0">
    <w:name w:val="WW8Num9z0"/>
    <w:qFormat/>
    <w:rPr/>
  </w:style>
  <w:style w:type="character" w:styleId="WW8Num10z0">
    <w:name w:val="WW8Num10z0"/>
    <w:qFormat/>
    <w:rPr>
      <w:rFonts w:ascii="Times New Roman" w:hAnsi="Times New Roman" w:cs="Times New Roman"/>
      <w:b w:val="false"/>
      <w:i w:val="false"/>
      <w:sz w:val="24"/>
    </w:rPr>
  </w:style>
  <w:style w:type="character" w:styleId="WW8Num11z0">
    <w:name w:val="WW8Num11z0"/>
    <w:qFormat/>
    <w:rPr>
      <w:rFonts w:ascii="Times New Roman" w:hAnsi="Times New Roman" w:cs="Times New Roman"/>
      <w:b w:val="false"/>
      <w:i w:val="false"/>
      <w:sz w:val="24"/>
    </w:rPr>
  </w:style>
  <w:style w:type="character" w:styleId="WW8Num12z0">
    <w:name w:val="WW8Num12z0"/>
    <w:qFormat/>
    <w:rPr>
      <w:rFonts w:ascii="Times New Roman" w:hAnsi="Times New Roman" w:cs="Times New Roman"/>
      <w:b w:val="false"/>
      <w:i w:val="false"/>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2000-04-25T17:31:00Z</dcterms:created>
  <dc:creator>tsweet</dc:creator>
  <dc:description/>
  <dc:language>en-CA</dc:language>
  <cp:lastModifiedBy>tsweet</cp:lastModifiedBy>
  <cp:lastPrinted>2000-04-25T16:34:00Z</cp:lastPrinted>
  <dcterms:modified xsi:type="dcterms:W3CDTF">2000-04-25T19:04:00Z</dcterms:modified>
  <cp:revision>9</cp:revision>
  <dc:subject/>
  <dc:title>October 5, 1999</dc:title>
</cp:coreProperties>
</file>