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John Greene</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rPr/>
            </w:pPr>
            <w:r>
              <w:rPr/>
              <w:t>Sheila Glover</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Bob Bruce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EWS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Margin Restrictions under Japanese Securities Laws </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2, 2001</w:t>
            </w:r>
          </w:p>
        </w:tc>
      </w:tr>
    </w:tbl>
    <w:p>
      <w:pPr>
        <w:pStyle w:val="Body"/>
        <w:ind w:firstLine="576" w:end="720"/>
        <w:jc w:val="both"/>
        <w:rPr>
          <w:sz w:val="22"/>
        </w:rPr>
      </w:pPr>
      <w:r>
        <w:rPr>
          <w:sz w:val="22"/>
        </w:rPr>
      </w:r>
      <w:bookmarkStart w:id="1" w:name="StartOfMemo"/>
      <w:bookmarkStart w:id="2" w:name="StartOfMemo"/>
      <w:bookmarkEnd w:id="2"/>
    </w:p>
    <w:p>
      <w:pPr>
        <w:pStyle w:val="Body"/>
        <w:ind w:firstLine="18" w:end="720"/>
        <w:jc w:val="both"/>
        <w:rPr>
          <w:b/>
          <w:bCs/>
          <w:sz w:val="22"/>
          <w:u w:val="single"/>
        </w:rPr>
      </w:pPr>
      <w:r>
        <w:rPr>
          <w:b/>
          <w:bCs/>
          <w:sz w:val="22"/>
          <w:u w:val="single"/>
        </w:rPr>
        <w:t>Background</w:t>
      </w:r>
    </w:p>
    <w:p>
      <w:pPr>
        <w:pStyle w:val="Body"/>
        <w:ind w:firstLine="576" w:end="720"/>
        <w:jc w:val="both"/>
        <w:rPr>
          <w:b/>
          <w:bCs/>
          <w:sz w:val="22"/>
          <w:u w:val="single"/>
        </w:rPr>
      </w:pPr>
      <w:r>
        <w:rPr>
          <w:b/>
          <w:bCs/>
          <w:sz w:val="22"/>
          <w:u w:val="single"/>
        </w:rPr>
      </w:r>
    </w:p>
    <w:p>
      <w:pPr>
        <w:pStyle w:val="Body"/>
        <w:ind w:firstLine="576" w:end="720"/>
        <w:jc w:val="both"/>
        <w:rPr>
          <w:sz w:val="22"/>
        </w:rPr>
      </w:pPr>
      <w:r>
        <w:rPr>
          <w:sz w:val="22"/>
        </w:rPr>
        <w:t>In recent weeks, we have been analyzing the legal, tax and commercial ramifications of opening equity trading operations in the Asia/Pacific Rim region under a variety of structures. In particular, we have been searching for an optimal structure subject to all of the following:</w:t>
      </w:r>
    </w:p>
    <w:p>
      <w:pPr>
        <w:pStyle w:val="Body"/>
        <w:ind w:firstLine="576" w:end="720"/>
        <w:jc w:val="both"/>
        <w:rPr>
          <w:sz w:val="22"/>
        </w:rPr>
      </w:pPr>
      <w:r>
        <w:rPr>
          <w:sz w:val="22"/>
        </w:rPr>
      </w:r>
    </w:p>
    <w:p>
      <w:pPr>
        <w:pStyle w:val="Body"/>
        <w:numPr>
          <w:ilvl w:val="0"/>
          <w:numId w:val="3"/>
        </w:numPr>
        <w:ind w:hanging="360" w:start="1008" w:end="720"/>
        <w:jc w:val="both"/>
        <w:rPr>
          <w:sz w:val="22"/>
        </w:rPr>
      </w:pPr>
      <w:r>
        <w:rPr>
          <w:sz w:val="22"/>
        </w:rPr>
        <w:t>all Enron equity trading personnel, including those with execution authority, located in Tokyo</w:t>
      </w:r>
    </w:p>
    <w:p>
      <w:pPr>
        <w:pStyle w:val="Body"/>
        <w:numPr>
          <w:ilvl w:val="0"/>
          <w:numId w:val="3"/>
        </w:numPr>
        <w:ind w:hanging="360" w:start="1008" w:end="720"/>
        <w:jc w:val="both"/>
        <w:rPr>
          <w:sz w:val="22"/>
        </w:rPr>
      </w:pPr>
      <w:r>
        <w:rPr>
          <w:sz w:val="22"/>
        </w:rPr>
        <w:t>all trades executed through Japanese-licensed securities brokers</w:t>
      </w:r>
    </w:p>
    <w:p>
      <w:pPr>
        <w:pStyle w:val="Body"/>
        <w:numPr>
          <w:ilvl w:val="0"/>
          <w:numId w:val="3"/>
        </w:numPr>
        <w:ind w:hanging="360" w:start="1008" w:end="720"/>
        <w:jc w:val="both"/>
        <w:rPr>
          <w:sz w:val="22"/>
        </w:rPr>
      </w:pPr>
      <w:r>
        <w:rPr>
          <w:sz w:val="22"/>
        </w:rPr>
        <w:t xml:space="preserve">all trading is proprietary, i.e., solely for Enron’s account </w:t>
      </w:r>
    </w:p>
    <w:p>
      <w:pPr>
        <w:pStyle w:val="Body"/>
        <w:numPr>
          <w:ilvl w:val="0"/>
          <w:numId w:val="3"/>
        </w:numPr>
        <w:ind w:hanging="360" w:start="1008" w:end="720"/>
        <w:jc w:val="both"/>
        <w:rPr>
          <w:sz w:val="22"/>
        </w:rPr>
      </w:pPr>
      <w:r>
        <w:rPr>
          <w:sz w:val="22"/>
        </w:rPr>
        <w:t>flexibility to engage in broker-funded short and long positions  as required to accommodate a hedge fund strategy</w:t>
      </w:r>
    </w:p>
    <w:p>
      <w:pPr>
        <w:pStyle w:val="Body"/>
        <w:ind w:start="648" w:end="720"/>
        <w:jc w:val="both"/>
        <w:rPr>
          <w:sz w:val="22"/>
        </w:rPr>
      </w:pPr>
      <w:r>
        <w:rPr>
          <w:sz w:val="22"/>
        </w:rPr>
      </w:r>
    </w:p>
    <w:p>
      <w:pPr>
        <w:pStyle w:val="Body"/>
        <w:ind w:firstLine="576" w:end="720"/>
        <w:jc w:val="both"/>
        <w:rPr>
          <w:sz w:val="22"/>
        </w:rPr>
      </w:pPr>
      <w:r>
        <w:rPr>
          <w:sz w:val="22"/>
        </w:rPr>
        <w:t>Most recently, our analysis has concentrated on the last factor above.  After focussing on this point, both Baker &amp; McKenzie (our outside Japanese legal counsel) and representatives from the New York and Tokyo offices of Morgan Stanley Dean Witter (“MSDW”) have reached a consensus on the conclusion stated below.</w:t>
      </w:r>
    </w:p>
    <w:p>
      <w:pPr>
        <w:pStyle w:val="Body"/>
        <w:ind w:firstLine="576" w:end="720"/>
        <w:jc w:val="both"/>
        <w:rPr>
          <w:sz w:val="22"/>
        </w:rPr>
      </w:pPr>
      <w:r>
        <w:rPr>
          <w:sz w:val="22"/>
        </w:rPr>
      </w:r>
    </w:p>
    <w:p>
      <w:pPr>
        <w:pStyle w:val="Body"/>
        <w:ind w:firstLine="18" w:end="720"/>
        <w:jc w:val="both"/>
        <w:rPr>
          <w:b/>
          <w:bCs/>
          <w:sz w:val="22"/>
          <w:u w:val="single"/>
        </w:rPr>
      </w:pPr>
      <w:r>
        <w:rPr>
          <w:b/>
          <w:bCs/>
          <w:sz w:val="22"/>
          <w:u w:val="single"/>
        </w:rPr>
        <w:t>Conclusion</w:t>
      </w:r>
    </w:p>
    <w:p>
      <w:pPr>
        <w:pStyle w:val="Body"/>
        <w:ind w:firstLine="576" w:end="720"/>
        <w:jc w:val="both"/>
        <w:rPr>
          <w:b/>
          <w:bCs/>
          <w:sz w:val="22"/>
          <w:u w:val="single"/>
        </w:rPr>
      </w:pPr>
      <w:r>
        <w:rPr>
          <w:b/>
          <w:bCs/>
          <w:sz w:val="22"/>
          <w:u w:val="single"/>
        </w:rPr>
      </w:r>
    </w:p>
    <w:p>
      <w:pPr>
        <w:pStyle w:val="Body"/>
        <w:ind w:firstLine="576" w:end="720"/>
        <w:jc w:val="both"/>
        <w:rPr/>
      </w:pPr>
      <w:r>
        <w:rPr>
          <w:b/>
          <w:bCs/>
          <w:sz w:val="22"/>
        </w:rPr>
        <w:t xml:space="preserve">Our conclusion is that we would </w:t>
      </w:r>
      <w:r>
        <w:rPr>
          <w:b/>
          <w:bCs/>
          <w:sz w:val="22"/>
          <w:u w:val="single"/>
        </w:rPr>
        <w:t>not</w:t>
      </w:r>
      <w:r>
        <w:rPr>
          <w:b/>
          <w:bCs/>
          <w:sz w:val="22"/>
        </w:rPr>
        <w:t xml:space="preserve"> be able to have our execution personnel located in Japan </w:t>
      </w:r>
      <w:r>
        <w:rPr>
          <w:b/>
          <w:bCs/>
          <w:sz w:val="22"/>
          <w:u w:val="single"/>
        </w:rPr>
        <w:t>and</w:t>
      </w:r>
      <w:r>
        <w:rPr>
          <w:b/>
          <w:bCs/>
          <w:sz w:val="22"/>
        </w:rPr>
        <w:t xml:space="preserve"> retain our desired flexibility to take funded short and long positions.</w:t>
      </w:r>
      <w:r>
        <w:rPr>
          <w:sz w:val="22"/>
        </w:rPr>
        <w:t xml:space="preserve">   This is because of restrictions under Japanese law relating to broker funding of securities trades.  These restrictions would not apply, however, if our execution personnel were located outside of Japan and transacted the </w:t>
      </w:r>
      <w:r>
        <w:rPr>
          <w:sz w:val="22"/>
          <w:u w:val="single"/>
        </w:rPr>
        <w:t>funding</w:t>
      </w:r>
      <w:r>
        <w:rPr>
          <w:sz w:val="22"/>
        </w:rPr>
        <w:t xml:space="preserve"> arrangements with brokers also outside of Japan.  Under such a scenario, our offshore execution personnel could be supported (up to a point) by portfolio and research personnel located in Japan.</w:t>
      </w:r>
    </w:p>
    <w:p>
      <w:pPr>
        <w:pStyle w:val="Body"/>
        <w:ind w:firstLine="576" w:end="720"/>
        <w:jc w:val="both"/>
        <w:rPr>
          <w:sz w:val="22"/>
        </w:rPr>
      </w:pPr>
      <w:r>
        <w:rPr>
          <w:sz w:val="22"/>
        </w:rPr>
      </w:r>
    </w:p>
    <w:p>
      <w:pPr>
        <w:pStyle w:val="Body"/>
        <w:ind w:firstLine="18" w:end="720"/>
        <w:jc w:val="both"/>
        <w:rPr>
          <w:b/>
          <w:bCs/>
          <w:sz w:val="22"/>
          <w:u w:val="single"/>
        </w:rPr>
      </w:pPr>
      <w:r>
        <w:rPr>
          <w:b/>
          <w:bCs/>
          <w:sz w:val="22"/>
          <w:u w:val="single"/>
        </w:rPr>
        <w:t>Discussion</w:t>
      </w:r>
    </w:p>
    <w:p>
      <w:pPr>
        <w:pStyle w:val="Body"/>
        <w:ind w:firstLine="18" w:end="720"/>
        <w:jc w:val="both"/>
        <w:rPr>
          <w:b/>
          <w:bCs/>
          <w:sz w:val="22"/>
          <w:u w:val="single"/>
        </w:rPr>
      </w:pPr>
      <w:r>
        <w:rPr>
          <w:b/>
          <w:bCs/>
          <w:sz w:val="22"/>
          <w:u w:val="single"/>
        </w:rPr>
      </w:r>
    </w:p>
    <w:p>
      <w:pPr>
        <w:pStyle w:val="Body"/>
        <w:ind w:end="720"/>
        <w:jc w:val="both"/>
        <w:rPr>
          <w:sz w:val="22"/>
        </w:rPr>
      </w:pPr>
      <w:r>
        <w:rPr>
          <w:sz w:val="22"/>
          <w:u w:val="single"/>
        </w:rPr>
        <w:t>”</w:t>
      </w:r>
      <w:r>
        <w:rPr>
          <w:i/>
          <w:iCs/>
          <w:sz w:val="22"/>
          <w:u w:val="single"/>
        </w:rPr>
        <w:t>Seido”</w:t>
      </w:r>
      <w:r>
        <w:rPr>
          <w:sz w:val="22"/>
          <w:u w:val="single"/>
        </w:rPr>
        <w:t xml:space="preserve"> Margin vs. “General” Margin</w:t>
      </w:r>
    </w:p>
    <w:p>
      <w:pPr>
        <w:pStyle w:val="Body"/>
        <w:ind w:firstLine="576" w:end="720"/>
        <w:jc w:val="both"/>
        <w:rPr>
          <w:sz w:val="22"/>
        </w:rPr>
      </w:pPr>
      <w:r>
        <w:rPr>
          <w:sz w:val="22"/>
        </w:rPr>
      </w:r>
    </w:p>
    <w:p>
      <w:pPr>
        <w:pStyle w:val="Body"/>
        <w:ind w:firstLine="576" w:end="720"/>
        <w:jc w:val="both"/>
        <w:rPr/>
      </w:pPr>
      <w:r>
        <w:rPr>
          <w:sz w:val="22"/>
        </w:rPr>
        <w:t xml:space="preserve">Japanese law recognizes two types of margin transactions – </w:t>
      </w:r>
      <w:r>
        <w:rPr>
          <w:i/>
          <w:iCs/>
          <w:sz w:val="22"/>
        </w:rPr>
        <w:t>seido</w:t>
      </w:r>
      <w:r>
        <w:rPr>
          <w:sz w:val="22"/>
        </w:rPr>
        <w:t xml:space="preserve"> margin (also known as “system margin” or “institutional margin”) and general margin.  Under </w:t>
      </w:r>
      <w:r>
        <w:rPr>
          <w:i/>
          <w:iCs/>
          <w:sz w:val="22"/>
        </w:rPr>
        <w:t>seido</w:t>
      </w:r>
      <w:r>
        <w:rPr>
          <w:sz w:val="22"/>
        </w:rPr>
        <w:t xml:space="preserve"> margin, the credit extension of securities or purchase price is arranged through the clearinghouse of the exchange on which the target issue is traded, and the terms of the financing are uniformly applied by the rules of the exchange.  Under general margin, the clearinghouse of the exchange is not involved, and the broker and customer are free to negotiate their own financing arrangements.  </w:t>
      </w:r>
    </w:p>
    <w:p>
      <w:pPr>
        <w:pStyle w:val="Body"/>
        <w:ind w:firstLine="576" w:end="720"/>
        <w:jc w:val="both"/>
        <w:rPr>
          <w:sz w:val="22"/>
        </w:rPr>
      </w:pPr>
      <w:r>
        <w:rPr>
          <w:sz w:val="22"/>
        </w:rPr>
      </w:r>
    </w:p>
    <w:p>
      <w:pPr>
        <w:pStyle w:val="Body"/>
        <w:ind w:firstLine="576" w:end="720"/>
        <w:jc w:val="both"/>
        <w:rPr/>
      </w:pPr>
      <w:r>
        <w:rPr>
          <w:sz w:val="22"/>
          <w:u w:val="single"/>
        </w:rPr>
        <w:t>Tokyo Stock Exchange (“TSE”)</w:t>
      </w:r>
      <w:r>
        <w:rPr>
          <w:i/>
          <w:iCs/>
          <w:sz w:val="22"/>
          <w:u w:val="single"/>
        </w:rPr>
        <w:t xml:space="preserve"> Seido</w:t>
      </w:r>
      <w:r>
        <w:rPr>
          <w:sz w:val="22"/>
          <w:u w:val="single"/>
        </w:rPr>
        <w:t xml:space="preserve"> restrictions</w:t>
      </w:r>
      <w:r>
        <w:rPr>
          <w:rStyle w:val="FootnoteCharacters"/>
          <w:rStyle w:val="FootnoteReference"/>
          <w:sz w:val="22"/>
          <w:u w:val="single"/>
        </w:rPr>
        <w:footnoteReference w:id="2"/>
      </w:r>
      <w:r>
        <w:rPr>
          <w:sz w:val="22"/>
        </w:rPr>
        <w:t xml:space="preserve">:  In addition to the terms of the financing, TSE  enforces rules as to which of its listed issues are eligible for </w:t>
      </w:r>
      <w:r>
        <w:rPr>
          <w:i/>
          <w:iCs/>
          <w:sz w:val="22"/>
        </w:rPr>
        <w:t xml:space="preserve">seido </w:t>
      </w:r>
      <w:r>
        <w:rPr>
          <w:sz w:val="22"/>
        </w:rPr>
        <w:t>margin transactions.  These rules are based on how long the issue has been listed, the number of outstanding shares, the concentration of ownership of shares, recent trading volume, and financial performance of the issuing company. Above and beyond these factors, the TSE retains broad discretion in determining whether a particular issue is eligible.</w:t>
      </w:r>
    </w:p>
    <w:p>
      <w:pPr>
        <w:pStyle w:val="Body"/>
        <w:ind w:firstLine="576" w:end="720"/>
        <w:jc w:val="both"/>
        <w:rPr>
          <w:sz w:val="22"/>
        </w:rPr>
      </w:pPr>
      <w:r>
        <w:rPr>
          <w:sz w:val="22"/>
        </w:rPr>
      </w:r>
    </w:p>
    <w:p>
      <w:pPr>
        <w:pStyle w:val="Body"/>
        <w:ind w:firstLine="576" w:end="720"/>
        <w:jc w:val="both"/>
        <w:rPr/>
      </w:pPr>
      <w:r>
        <w:rPr>
          <w:sz w:val="22"/>
        </w:rPr>
        <w:t xml:space="preserve">These types of eligibility restrictions would not apply to </w:t>
      </w:r>
      <w:r>
        <w:rPr>
          <w:sz w:val="22"/>
          <w:u w:val="single"/>
        </w:rPr>
        <w:t>general</w:t>
      </w:r>
      <w:r>
        <w:rPr>
          <w:sz w:val="22"/>
        </w:rPr>
        <w:t xml:space="preserve"> margin transactions, but if a broker having the desired securities in its own inventory can not be located, then the margin transaction would have to be arranged through the relevant exchange as a </w:t>
      </w:r>
      <w:r>
        <w:rPr>
          <w:i/>
          <w:iCs/>
          <w:sz w:val="22"/>
        </w:rPr>
        <w:t>seido</w:t>
      </w:r>
      <w:r>
        <w:rPr>
          <w:sz w:val="22"/>
        </w:rPr>
        <w:t xml:space="preserve"> transaction   Depending on which listed issue is involved, the applicable restrictions may make the desired trade unfeasible (if not completely prohibited).</w:t>
      </w:r>
    </w:p>
    <w:p>
      <w:pPr>
        <w:pStyle w:val="Body"/>
        <w:ind w:firstLine="576" w:end="720"/>
        <w:jc w:val="both"/>
        <w:rPr>
          <w:sz w:val="22"/>
        </w:rPr>
      </w:pPr>
      <w:r>
        <w:rPr>
          <w:sz w:val="22"/>
        </w:rPr>
      </w:r>
    </w:p>
    <w:p>
      <w:pPr>
        <w:pStyle w:val="Body"/>
        <w:ind w:firstLine="576" w:end="720"/>
        <w:jc w:val="both"/>
        <w:rPr/>
      </w:pPr>
      <w:r>
        <w:rPr>
          <w:sz w:val="22"/>
          <w:u w:val="single"/>
        </w:rPr>
        <w:t>Deposit Percentage</w:t>
      </w:r>
      <w:r>
        <w:rPr>
          <w:sz w:val="22"/>
        </w:rPr>
        <w:t xml:space="preserve">: MSDW has advised us that all margin transactions are subject to a deposit requirement of at least 50% of the amount being financed.  The “Margin Transactions” treatise sent to us by MSDW references a statutory minimum of 30% established by the Minister of Finance pursuant to Article 161-2 of the Securities Exchange Law.  It may be that this requirement is effectively raised to 50% by other authorities (such as the Tokyo Stock Exchange pursuant to </w:t>
      </w:r>
      <w:r>
        <w:rPr>
          <w:i/>
          <w:iCs/>
          <w:sz w:val="22"/>
        </w:rPr>
        <w:t>seido</w:t>
      </w:r>
      <w:r>
        <w:rPr>
          <w:sz w:val="22"/>
        </w:rPr>
        <w:t xml:space="preserve"> transactions or the JSDA), or it may be that the provision as cited in the treatise is simply out of date.  MSDW has advised us that this deposit requirement applies to long positions.  I am currently trying to clarify as to whether it applies to short positions as well, and other matters relating to this restriction.</w:t>
      </w:r>
    </w:p>
    <w:p>
      <w:pPr>
        <w:pStyle w:val="Body"/>
        <w:ind w:end="720"/>
        <w:jc w:val="both"/>
        <w:rPr>
          <w:sz w:val="22"/>
          <w:u w:val="single"/>
        </w:rPr>
      </w:pPr>
      <w:r>
        <w:rPr>
          <w:sz w:val="22"/>
          <w:u w:val="single"/>
        </w:rPr>
      </w:r>
    </w:p>
    <w:p>
      <w:pPr>
        <w:pStyle w:val="Body"/>
        <w:ind w:end="720"/>
        <w:jc w:val="both"/>
        <w:rPr>
          <w:sz w:val="22"/>
          <w:u w:val="single"/>
        </w:rPr>
      </w:pPr>
      <w:r>
        <w:rPr>
          <w:sz w:val="22"/>
          <w:u w:val="single"/>
        </w:rPr>
        <w:t>Location of Execution Personnel Offshore</w:t>
      </w:r>
    </w:p>
    <w:p>
      <w:pPr>
        <w:pStyle w:val="Body"/>
        <w:ind w:end="720"/>
        <w:jc w:val="both"/>
        <w:rPr>
          <w:sz w:val="22"/>
          <w:u w:val="single"/>
        </w:rPr>
      </w:pPr>
      <w:r>
        <w:rPr>
          <w:sz w:val="22"/>
          <w:u w:val="single"/>
        </w:rPr>
      </w:r>
    </w:p>
    <w:p>
      <w:pPr>
        <w:pStyle w:val="Body"/>
        <w:ind w:firstLine="558" w:end="720"/>
        <w:jc w:val="both"/>
        <w:rPr/>
      </w:pPr>
      <w:r>
        <w:rPr>
          <w:sz w:val="22"/>
        </w:rPr>
        <w:t xml:space="preserve">The consensus advice from both Baker &amp; McKenzie and MSDW’s Tokyo legal department is that the foregoing restrictions would </w:t>
      </w:r>
      <w:r>
        <w:rPr>
          <w:sz w:val="22"/>
          <w:u w:val="single"/>
        </w:rPr>
        <w:t>not</w:t>
      </w:r>
      <w:r>
        <w:rPr>
          <w:sz w:val="22"/>
        </w:rPr>
        <w:t xml:space="preserve"> apply if our equity trading personnel with execution authority (i) were located outside of Japan </w:t>
      </w:r>
      <w:r>
        <w:rPr>
          <w:sz w:val="22"/>
          <w:u w:val="single"/>
        </w:rPr>
        <w:t>and</w:t>
      </w:r>
      <w:r>
        <w:rPr>
          <w:sz w:val="22"/>
        </w:rPr>
        <w:t xml:space="preserve"> (ii) entered into funding arrangements with non-Japanese brokers.  For these purposes, the non-Japanese funding broker could be an offshore affiliate of the Japanese-licensed securities company that ultimately executes the trade (e.g., we could fund a position through MSDW-London and execute through MSDW-Tokyo).  </w:t>
      </w:r>
    </w:p>
    <w:p>
      <w:pPr>
        <w:pStyle w:val="Body"/>
        <w:ind w:end="720"/>
        <w:jc w:val="both"/>
        <w:rPr>
          <w:sz w:val="22"/>
        </w:rPr>
      </w:pPr>
      <w:r>
        <w:rPr>
          <w:sz w:val="22"/>
        </w:rPr>
      </w:r>
    </w:p>
    <w:p>
      <w:pPr>
        <w:pStyle w:val="Body"/>
        <w:ind w:firstLine="558" w:end="720"/>
        <w:jc w:val="both"/>
        <w:rPr/>
      </w:pPr>
      <w:r>
        <w:rPr>
          <w:sz w:val="22"/>
        </w:rPr>
        <w:t xml:space="preserve">In such a scenario, our offshore execution personnel could be supported by Japanese-based portfolio and research personnel (“Tokyo Research Branch”), who could go so far as to single out particular companies or issues as having positive or negative outlooks, and could analyze such outlooks in detail.  However, Tokyo Research Branch would not be able to give specific trading instructions to the offshore execution personnel (e.g. “Buy X# of shares of ABC Corp.”).  This would likely be deemd </w:t>
      </w:r>
      <w:r>
        <w:rPr>
          <w:i/>
          <w:iCs/>
          <w:sz w:val="22"/>
        </w:rPr>
        <w:t>de facto</w:t>
      </w:r>
      <w:r>
        <w:rPr>
          <w:sz w:val="22"/>
        </w:rPr>
        <w:t xml:space="preserve"> onshore execution and subject us to the full range of funding restrictions discussed above. </w:t>
      </w:r>
    </w:p>
    <w:p>
      <w:pPr>
        <w:pStyle w:val="Body"/>
        <w:ind w:end="720"/>
        <w:jc w:val="both"/>
        <w:rPr>
          <w:sz w:val="22"/>
        </w:rPr>
      </w:pPr>
      <w:r>
        <w:rPr>
          <w:sz w:val="22"/>
        </w:rPr>
      </w:r>
    </w:p>
    <w:p>
      <w:pPr>
        <w:pStyle w:val="Body"/>
        <w:ind w:firstLine="558" w:end="720"/>
        <w:jc w:val="both"/>
        <w:rPr/>
      </w:pPr>
      <w:r>
        <w:rPr>
          <w:sz w:val="22"/>
        </w:rPr>
        <w:t xml:space="preserve">Baker &amp; McKenzie has also advised us that if Tokyo Research Branch is part of the same legal entity in which the offshore execution personnel are housed, then Tokyo Research Branch would </w:t>
      </w:r>
      <w:r>
        <w:rPr>
          <w:sz w:val="22"/>
          <w:u w:val="single"/>
        </w:rPr>
        <w:t>not</w:t>
      </w:r>
      <w:r>
        <w:rPr>
          <w:sz w:val="22"/>
        </w:rPr>
        <w:t xml:space="preserve"> need to be licensed as an “Investment Adviser” (which is a less onerous license than that for a “securities company,” i.e., a fully licensed broker).  However, international tax considerations may dictate that Tokyo Research Branch and the offshore execution personnel are housed in different entities.  In such a situation, Tokyo Research Branch could be deemed to be “advising” the offshore execution personnel, which could require us to get the “investment adviser” license.  Further research would be required into exactly what such a license would entail, although preliminary indications suggest that such a license may be manageable to obtain and maintain.</w:t>
      </w:r>
    </w:p>
    <w:p>
      <w:pPr>
        <w:pStyle w:val="Body"/>
        <w:ind w:firstLine="558" w:end="720"/>
        <w:jc w:val="both"/>
        <w:rPr>
          <w:sz w:val="22"/>
        </w:rPr>
      </w:pPr>
      <w:r>
        <w:rPr>
          <w:sz w:val="22"/>
        </w:rPr>
      </w:r>
    </w:p>
    <w:p>
      <w:pPr>
        <w:pStyle w:val="Body"/>
        <w:ind w:firstLine="558" w:end="720"/>
        <w:jc w:val="both"/>
        <w:rPr>
          <w:sz w:val="22"/>
        </w:rPr>
      </w:pPr>
      <w:r>
        <w:rPr>
          <w:sz w:val="22"/>
        </w:rPr>
        <w:t>With respect to offshore execution, Baker &amp; McKenzie gives the following advice to minimize the risk of application of Japanese funding restrictions:</w:t>
      </w:r>
    </w:p>
    <w:p>
      <w:pPr>
        <w:pStyle w:val="Body"/>
        <w:ind w:firstLine="558" w:end="720"/>
        <w:jc w:val="both"/>
        <w:rPr>
          <w:sz w:val="22"/>
        </w:rPr>
      </w:pPr>
      <w:r>
        <w:rPr>
          <w:sz w:val="22"/>
        </w:rPr>
      </w:r>
    </w:p>
    <w:p>
      <w:pPr>
        <w:pStyle w:val="Body"/>
        <w:numPr>
          <w:ilvl w:val="0"/>
          <w:numId w:val="2"/>
        </w:numPr>
        <w:ind w:hanging="975" w:start="1605" w:end="720"/>
        <w:jc w:val="both"/>
        <w:rPr>
          <w:sz w:val="22"/>
        </w:rPr>
      </w:pPr>
      <w:r>
        <w:rPr>
          <w:sz w:val="22"/>
        </w:rPr>
        <w:t>If we are funding a trade through a brokerage office affiliated  with the same firm that executes the trade in Japan (e.g. fund through MSDW-London and execute through MSDW-Tokyo), the funding offices and the execution offices of the firm should be  separate legal entities; and</w:t>
      </w:r>
    </w:p>
    <w:p>
      <w:pPr>
        <w:pStyle w:val="Body"/>
        <w:ind w:end="720"/>
        <w:jc w:val="both"/>
        <w:rPr>
          <w:sz w:val="22"/>
        </w:rPr>
      </w:pPr>
      <w:r>
        <w:rPr>
          <w:sz w:val="22"/>
        </w:rPr>
      </w:r>
    </w:p>
    <w:p>
      <w:pPr>
        <w:pStyle w:val="Body"/>
        <w:numPr>
          <w:ilvl w:val="0"/>
          <w:numId w:val="2"/>
        </w:numPr>
        <w:ind w:hanging="975" w:start="1605" w:end="720"/>
        <w:jc w:val="both"/>
        <w:rPr>
          <w:sz w:val="22"/>
        </w:rPr>
      </w:pPr>
      <w:r>
        <w:rPr>
          <w:sz w:val="22"/>
        </w:rPr>
        <w:t>To the extent possible, communication/interaction between Tokyo Research Branch and our Japanese executing brokers should be minimized.</w:t>
      </w:r>
    </w:p>
    <w:p>
      <w:pPr>
        <w:pStyle w:val="Body"/>
        <w:ind w:end="720"/>
        <w:jc w:val="both"/>
        <w:rPr>
          <w:sz w:val="22"/>
        </w:rPr>
      </w:pPr>
      <w:r>
        <w:rPr>
          <w:sz w:val="22"/>
        </w:rPr>
      </w:r>
    </w:p>
    <w:p>
      <w:pPr>
        <w:pStyle w:val="Body"/>
        <w:ind w:firstLine="576" w:end="720"/>
        <w:jc w:val="both"/>
        <w:rPr>
          <w:sz w:val="22"/>
        </w:rPr>
      </w:pPr>
      <w:r>
        <w:rPr>
          <w:sz w:val="22"/>
        </w:rPr>
        <w:t>In selecting a site for the execution personnel, we would need to consider whether the laws of that jurisdiction contain similar funding restrictions to those under Japanese law (e.g., if we chose Hong Kong as the site for our execution personnel, we would want those traders to be free to trade Hong Kong issues through Hong Kong-licensed brokers without the restrictions discussed in this memo).  Also, of course, each structure we consider will have its own international tax implications.  Susan Musch has already conducted some research in this area. In this regard,  I am enclosing with this memo a matrix entitled “Asia Equity Trading” which summarizes our research to date.</w:t>
      </w:r>
    </w:p>
    <w:p>
      <w:pPr>
        <w:pStyle w:val="Body"/>
        <w:ind w:firstLine="576" w:end="720"/>
        <w:jc w:val="both"/>
        <w:rPr>
          <w:sz w:val="22"/>
        </w:rPr>
      </w:pPr>
      <w:r>
        <w:rPr>
          <w:sz w:val="22"/>
        </w:rPr>
      </w:r>
    </w:p>
    <w:p>
      <w:pPr>
        <w:pStyle w:val="Body"/>
        <w:ind w:firstLine="720" w:start="0" w:end="720"/>
        <w:jc w:val="both"/>
        <w:rPr>
          <w:sz w:val="22"/>
        </w:rPr>
      </w:pPr>
      <w:r>
        <w:rPr>
          <w:sz w:val="22"/>
        </w:rPr>
        <w:tab/>
        <w:tab/>
        <w:t xml:space="preserve"> </w:t>
      </w:r>
    </w:p>
    <w:p>
      <w:pPr>
        <w:pStyle w:val="Body"/>
        <w:ind w:firstLine="558" w:start="90" w:end="720"/>
        <w:jc w:val="both"/>
        <w:rPr/>
      </w:pPr>
      <w:r>
        <w:rPr>
          <w:sz w:val="22"/>
        </w:rPr>
        <w:tab/>
        <w:tab/>
        <w:tab/>
        <w:tab/>
        <w:tab/>
        <w:tab/>
        <w:tab/>
        <w:tab/>
        <w:tab/>
        <w:tab/>
        <w:t>REB</w:t>
      </w:r>
      <w:r>
        <w:rPr/>
        <w:t xml:space="preserve">   </w:t>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/mnt/main-storage/datasets/enron-docs/doc/Greene_et_al_050201.doc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/mnt/main-storage/datasets/enron-docs/doc/Greene_et_al_050201.doc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discussion here is taken largely from a treatise entitled “Margin Transactions” sent to us by MSDW’s Tokyo office.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8553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855345"/>
                      </a:xfrm>
                      <a:prstGeom prst="rect"/>
                      <a:solidFill>
                        <a:srgbClr val="FFFFFF">
                          <a:alpha val="0"/>
                        </a:srgbClr>
                      </a:solidFill>
                    </wps:spPr>
                    <wps:txbx>
                      <w:txbxContent>
                        <w:p>
                          <w:pPr>
                            <w:pStyle w:val="Normal"/>
                            <w:spacing w:before="240" w:after="0"/>
                            <w:ind w:start="3600" w:end="0"/>
                            <w:rPr>
                              <w:b/>
                              <w:sz w:val="32"/>
                            </w:rPr>
                          </w:pPr>
                          <w:r>
                            <w:rPr>
                              <w:b/>
                              <w:sz w:val="32"/>
                            </w:rPr>
                            <w:t>DRAFT InterofficeMemorandum</w:t>
                          </w:r>
                        </w:p>
                      </w:txbxContent>
                    </wps:txbx>
                    <wps:bodyPr anchor="t" lIns="0" tIns="0" rIns="0" bIns="0">
                      <a:noAutofit/>
                    </wps:bodyPr>
                  </wps:wsp>
                </a:graphicData>
              </a:graphic>
            </wp:anchor>
          </w:drawing>
        </mc:Choice>
        <mc:Fallback>
          <w:pict>
            <v:rect fillcolor="#FFFFFF" style="position:absolute;rotation:-0;width:305.3pt;height:67.3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DRAFT 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605"/>
        </w:tabs>
        <w:ind w:start="1605" w:hanging="975"/>
      </w:pPr>
      <w:rPr/>
    </w:lvl>
  </w:abstractNum>
  <w:abstractNum w:abstractNumId="3">
    <w:lvl w:ilvl="0">
      <w:numFmt w:val="bullet"/>
      <w:lvlText w:val=""/>
      <w:lvlJc w:val="start"/>
      <w:pPr>
        <w:tabs>
          <w:tab w:val="num" w:pos="1008"/>
        </w:tabs>
        <w:ind w:start="1008"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2001-05-02T14:05:00Z</dcterms:created>
  <dc:creator>Jeff Ford</dc:creator>
  <dc:description/>
  <dc:language>en-CA</dc:language>
  <cp:lastModifiedBy>rbruce2</cp:lastModifiedBy>
  <cp:lastPrinted>2001-04-06T17:09:00Z</cp:lastPrinted>
  <dcterms:modified xsi:type="dcterms:W3CDTF">2001-05-02T14:16:00Z</dcterms:modified>
  <cp:revision>3</cp:revision>
  <dc:subject>Analysis of ECT's Financial, Power and Gas Forms</dc:subject>
  <dc:title>Eron Capital &amp; Trade Resources Memo</dc:title>
</cp:coreProperties>
</file>