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Greeley Gas Company, a division of Atmos Energy Corp.,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Atmos Energy Corp. shall have defaulted on its indebted</w:t>
        <w:softHyphen/>
        <w:t xml:space="preserve">ness to third parties, resulting in an acceleration of obligations of Atmos Energy Corp.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GREELEY GAS COMPANY, a division of  Atmos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/mnt/main-storage/datasets/enron-docs/doc/Greelye_Gas-dbd68937485034f0279673ec175b15c6d5577d6cff5b48943190e901c696aa9d.doc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Atmos Energy Corp.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Greeley Gas Company, a division of  Atmos Energy Corp.</w:t>
      </w:r>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2001-03-13T13:38:00Z</dcterms:created>
  <dc:creator>dperlin</dc:creator>
  <dc:description/>
  <dc:language>en-CA</dc:language>
  <cp:lastModifiedBy>dperlin</cp:lastModifiedBy>
  <cp:lastPrinted>2001-03-19T15:39:00Z</cp:lastPrinted>
  <dcterms:modified xsi:type="dcterms:W3CDTF">2001-03-19T19:14:00Z</dcterms:modified>
  <cp:revision>4</cp:revision>
  <dc:subject/>
  <dc:title>ENFOLIO® MASTER FIRM PURCHASE/SALE AGREEMENT</dc:title>
</cp:coreProperties>
</file>