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13, 2001</w:t>
      </w:r>
    </w:p>
    <w:p>
      <w:pPr>
        <w:pStyle w:val="Normal"/>
        <w:ind w:firstLine="720" w:start="1440" w:end="0"/>
        <w:jc w:val="center"/>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Greeley Gas Company, a division of Atmos Energy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Three Lincoln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5430 LBJ Fwy Suite 1800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Attn:  Manager Gas Supply</w:t>
      </w:r>
    </w:p>
    <w:p>
      <w:pPr>
        <w:pStyle w:val="Normal"/>
        <w:jc w:val="both"/>
        <w:rPr>
          <w:sz w:val="22"/>
        </w:rPr>
      </w:pPr>
      <w:r>
        <w:rPr>
          <w:sz w:val="22"/>
        </w:rPr>
      </w:r>
    </w:p>
    <w:p>
      <w:pPr>
        <w:pStyle w:val="Normal"/>
        <w:jc w:val="both"/>
        <w:rPr>
          <w:sz w:val="22"/>
        </w:rPr>
      </w:pPr>
      <w:r>
        <w:rPr>
          <w:sz w:val="22"/>
        </w:rPr>
      </w:r>
    </w:p>
    <w:p>
      <w:pPr>
        <w:pStyle w:val="Normal"/>
        <w:ind w:hanging="720" w:start="720" w:end="720"/>
        <w:jc w:val="both"/>
        <w:rPr>
          <w:sz w:val="22"/>
        </w:rPr>
      </w:pPr>
      <w:r>
        <w:rPr>
          <w:sz w:val="22"/>
        </w:rPr>
        <w:t>Re:</w:t>
        <w:tab/>
        <w:t>Release of Capacity and Agency Arrangements</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Normal"/>
        <w:autoSpaceDE w:val="false"/>
        <w:spacing w:lineRule="atLeast" w:line="240"/>
        <w:jc w:val="both"/>
        <w:rPr/>
      </w:pPr>
      <w:r>
        <w:rPr/>
        <w:tab/>
        <w:t xml:space="preserve">1.  </w:t>
      </w:r>
      <w:r>
        <w:rPr>
          <w:b/>
          <w:bCs/>
        </w:rPr>
        <w:t>Scope of the Agreement</w:t>
      </w:r>
      <w:r>
        <w:rPr/>
        <w:t xml:space="preserve">.  This letter agreement (this “Agreement”) sets forth the agreement of Enron North America Corp., a Delaware corporation (“ENA”) and Greeley Gas Company, a division of Atmos Energy Corp., a Texas corporation (“Greeley”), (each referred to as a  “Party” or collectively as the “Parties”), addressing certain details regarding Greeley’s release of capacity to ENA that Greeley currently holds on Colorado Interstate Gas Company (“CIG”) under Contract No. </w:t>
      </w:r>
      <w:r>
        <w:rPr>
          <w:color w:val="000000"/>
          <w:sz w:val="22"/>
        </w:rPr>
        <w:t>33222001 (the “CIG Transport Contract”)</w:t>
      </w:r>
      <w:r>
        <w:rPr/>
        <w:t xml:space="preserve"> and on Wyoming Interstate Company under Contract No. </w:t>
      </w:r>
      <w:r>
        <w:rPr>
          <w:color w:val="000000"/>
          <w:sz w:val="22"/>
        </w:rPr>
        <w:t>41059040 (the “WIC Transport Contract”)</w:t>
      </w:r>
      <w:r>
        <w:rPr/>
        <w:t xml:space="preserve"> and (ii) ENA’s agreement to act as Greeley’s agent to administer Greeley’s gas storage activities Colorado Interstate Gas Company’s storage lateral under Contract No. </w:t>
      </w:r>
      <w:r>
        <w:rPr>
          <w:color w:val="000000"/>
        </w:rPr>
        <w:t xml:space="preserve">33191010  and Young Gas Storage Company, Ltd. Under Contract No. 17003002 (collectively the “Storage Contracts”).  In consideration of the mutual benefits derived by the Parties hereunder and under that certain Transaction Agreement between the Parties to the </w:t>
      </w:r>
      <w:r>
        <w:rPr>
          <w:sz w:val="22"/>
        </w:rPr>
        <w:t>ENFOLIO Master Firm Purchase/Sale Agreement of even date herewith, the Parties hereby acknowledge and agree as follows:</w:t>
      </w:r>
    </w:p>
    <w:p>
      <w:pPr>
        <w:pStyle w:val="Normal"/>
        <w:jc w:val="both"/>
        <w:rPr>
          <w:sz w:val="22"/>
        </w:rPr>
      </w:pPr>
      <w:r>
        <w:rPr>
          <w:sz w:val="22"/>
        </w:rPr>
      </w:r>
    </w:p>
    <w:p>
      <w:pPr>
        <w:pStyle w:val="BodyText3"/>
        <w:rPr/>
      </w:pPr>
      <w:r>
        <w:rPr>
          <w:sz w:val="22"/>
        </w:rPr>
        <w:tab/>
        <w:t xml:space="preserve">2.  </w:t>
      </w:r>
      <w:r>
        <w:rPr>
          <w:b/>
          <w:bCs/>
          <w:sz w:val="22"/>
        </w:rPr>
        <w:t>Capacity Release</w:t>
      </w:r>
      <w:r>
        <w:rPr>
          <w:sz w:val="22"/>
        </w:rPr>
        <w:t xml:space="preserve">.  During the Term (hereafter defined) of this Agreement, Greeley shall (i) release the transportation capacity to ENA (or its designated affiliate) that Greeley currently holds under the CIG Transport Contract on a month to month basis and (ii) release the transportation capacity to ENA that Greeley currently holds under the WIC Transport Contract.  Both such releases shall be recallable, provided, that such recall rights shall only be exercised by Greeley, in the event that a third party obtains such released capacity through the applicable pipeline bulletin board posting process.  </w:t>
      </w:r>
    </w:p>
    <w:p>
      <w:pPr>
        <w:pStyle w:val="BodyText3"/>
        <w:rPr>
          <w:sz w:val="22"/>
        </w:rPr>
      </w:pPr>
      <w:r>
        <w:rPr>
          <w:sz w:val="22"/>
        </w:rPr>
      </w:r>
    </w:p>
    <w:p>
      <w:pPr>
        <w:pStyle w:val="BodyText3"/>
        <w:rPr/>
      </w:pPr>
      <w:r>
        <w:rPr>
          <w:sz w:val="22"/>
        </w:rPr>
        <w:tab/>
        <w:t xml:space="preserve">3.  </w:t>
      </w:r>
      <w:r>
        <w:rPr>
          <w:b/>
          <w:bCs/>
          <w:sz w:val="22"/>
        </w:rPr>
        <w:t>Agency</w:t>
      </w:r>
      <w:r>
        <w:rPr>
          <w:sz w:val="22"/>
        </w:rPr>
        <w:t>.  ENA will act as Greeley agent to administer, nominate, and schedule Greeley’s storage injection activities under the Storage Contracts and will enter into the appropriate agency agreements with both Colorado Interstate Gas Company and Young Gas Storage Company, Ltd which shall govern the terms and conditions of such agency.  Such agency shall only be effective during the Term of this Agreement.  Greeley will reimburse ENA for all demand charges, volumetric charges, fuel, and all other applicable charges incurred by ENA under such agency agreements for Greeley’s storage injection activities.</w:t>
      </w:r>
    </w:p>
    <w:p>
      <w:pPr>
        <w:pStyle w:val="Normal"/>
        <w:rPr>
          <w:sz w:val="22"/>
        </w:rPr>
      </w:pPr>
      <w:r>
        <w:rPr>
          <w:sz w:val="22"/>
        </w:rPr>
      </w:r>
    </w:p>
    <w:p>
      <w:pPr>
        <w:pStyle w:val="BodyTextIndent2"/>
        <w:rPr/>
      </w:pPr>
      <w:r>
        <w:rPr/>
        <w:t xml:space="preserve">4.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5.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GREELEY GAS COMPANY, A DIVISION OF ATMOS ENERGY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2001-04-12T18:26:00Z</dcterms:created>
  <dc:creator>Shonnie Daniel</dc:creator>
  <dc:description/>
  <cp:keywords>CARMICHAEL FIELD 4" P/L</cp:keywords>
  <dc:language>en-CA</dc:language>
  <cp:lastModifiedBy>gnemec</cp:lastModifiedBy>
  <cp:lastPrinted>2001-03-14T22:34:00Z</cp:lastPrinted>
  <dcterms:modified xsi:type="dcterms:W3CDTF">2001-04-13T16:17:00Z</dcterms:modified>
  <cp:revision>9</cp:revision>
  <dc:subject>ONYX GATHERING COMPANY, L.C.</dc:subject>
  <dc:title>LETTER OF UNDERSTANDINDG</dc:title>
</cp:coreProperties>
</file>