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sz w:val="22"/>
        </w:rPr>
      </w:pPr>
      <w:r>
        <w:rPr>
          <w:sz w:val="22"/>
        </w:rPr>
      </w:r>
    </w:p>
    <w:p>
      <w:pPr>
        <w:pStyle w:val="Normal"/>
        <w:rPr>
          <w:sz w:val="22"/>
        </w:rPr>
      </w:pPr>
      <w:r>
        <w:rPr>
          <w:sz w:val="22"/>
        </w:rPr>
        <w:tab/>
        <w:tab/>
        <w:tab/>
        <w:tab/>
        <w:tab/>
        <w:tab/>
        <w:t>February 28, 2001</w:t>
      </w:r>
    </w:p>
    <w:p>
      <w:pPr>
        <w:pStyle w:val="Normal"/>
        <w:rPr>
          <w:sz w:val="22"/>
        </w:rPr>
      </w:pPr>
      <w:r>
        <w:rPr>
          <w:sz w:val="22"/>
        </w:rPr>
      </w:r>
    </w:p>
    <w:p>
      <w:pPr>
        <w:pStyle w:val="Normal"/>
        <w:rPr>
          <w:sz w:val="22"/>
        </w:rPr>
      </w:pPr>
      <w:r>
        <w:rPr>
          <w:sz w:val="22"/>
        </w:rPr>
        <w:t>Mr. Robert W. Poole</w:t>
      </w:r>
    </w:p>
    <w:p>
      <w:pPr>
        <w:pStyle w:val="Normal"/>
        <w:rPr>
          <w:sz w:val="22"/>
        </w:rPr>
      </w:pPr>
      <w:r>
        <w:rPr>
          <w:sz w:val="22"/>
        </w:rPr>
        <w:t>Greeley Gas Company</w:t>
      </w:r>
    </w:p>
    <w:p>
      <w:pPr>
        <w:pStyle w:val="Normal"/>
        <w:rPr>
          <w:sz w:val="22"/>
        </w:rPr>
      </w:pPr>
      <w:r>
        <w:rPr>
          <w:sz w:val="22"/>
        </w:rPr>
        <w:t>P.O. Box 650205</w:t>
      </w:r>
    </w:p>
    <w:p>
      <w:pPr>
        <w:pStyle w:val="Normal"/>
        <w:rPr>
          <w:sz w:val="22"/>
        </w:rPr>
      </w:pPr>
      <w:r>
        <w:rPr>
          <w:sz w:val="22"/>
        </w:rPr>
        <w:t>Dallas, TX  75265-0205</w:t>
      </w:r>
    </w:p>
    <w:p>
      <w:pPr>
        <w:pStyle w:val="Normal"/>
        <w:rPr>
          <w:sz w:val="22"/>
        </w:rPr>
      </w:pPr>
      <w:r>
        <w:rPr>
          <w:sz w:val="22"/>
        </w:rPr>
      </w:r>
    </w:p>
    <w:p>
      <w:pPr>
        <w:pStyle w:val="Normal"/>
        <w:rPr>
          <w:sz w:val="22"/>
        </w:rPr>
      </w:pPr>
      <w:r>
        <w:rPr>
          <w:sz w:val="22"/>
        </w:rPr>
        <w:t>Dear Mr. Poole:</w:t>
      </w:r>
    </w:p>
    <w:p>
      <w:pPr>
        <w:pStyle w:val="Normal"/>
        <w:rPr>
          <w:sz w:val="22"/>
        </w:rPr>
      </w:pPr>
      <w:r>
        <w:rPr>
          <w:sz w:val="22"/>
        </w:rPr>
      </w:r>
    </w:p>
    <w:p>
      <w:pPr>
        <w:pStyle w:val="BodyText"/>
        <w:rPr/>
      </w:pPr>
      <w:r>
        <w:rPr/>
        <w:t>Enron North America (ENA) appreciates the opportunity to present our offer to provide firm gas supplies to Greeley Gas Company for their requirements on CIG, Public Service of Colorado, and Questar Pipelines.  Through our Denver origination and middle market group, in combination with our vast Houston trading operations, ENA has consistently offered Rocky Mountain utilities and industrials innovative energy structures and creative gas supply alternatives.  We are currently one year into a multi-year supply and asset management arrangement with Citizens Utilities Company for their Colorado LDC’s.  Citizens’ supply, transport, and storage assets are very similar to those of Greeley Gas, encompassing CIG transportation and storage and PSCo Southern System capacity.  Citizens has been very happy with the service and structure of our outsourcing relationship and is willing to provide Greeley with references if requested.</w:t>
      </w:r>
    </w:p>
    <w:p>
      <w:pPr>
        <w:pStyle w:val="Normal"/>
        <w:rPr>
          <w:sz w:val="22"/>
        </w:rPr>
      </w:pPr>
      <w:r>
        <w:rPr>
          <w:sz w:val="22"/>
        </w:rPr>
      </w:r>
    </w:p>
    <w:p>
      <w:pPr>
        <w:pStyle w:val="Normal"/>
        <w:rPr>
          <w:sz w:val="22"/>
        </w:rPr>
      </w:pPr>
      <w:r>
        <w:rPr>
          <w:sz w:val="22"/>
        </w:rPr>
        <w:t xml:space="preserve">You will note that some of our proposals are somewhat more involved than simple supply proposals.  Several of the proposals involve ENA managing certain contractual assets for Greeley.  We feel that, through these structures, we can provide Greeley the most attractive gas costs available in today’s marketplace.  If these structures do not exactly fit Greeley’s needs, we would appreciate the opportunity to discuss how we could adjust them to meet those needs. </w:t>
      </w:r>
    </w:p>
    <w:p>
      <w:pPr>
        <w:pStyle w:val="Normal"/>
        <w:rPr>
          <w:sz w:val="22"/>
        </w:rPr>
      </w:pPr>
      <w:r>
        <w:rPr>
          <w:sz w:val="22"/>
        </w:rPr>
      </w:r>
    </w:p>
    <w:p>
      <w:pPr>
        <w:pStyle w:val="Normal"/>
        <w:rPr>
          <w:sz w:val="22"/>
        </w:rPr>
      </w:pPr>
      <w:r>
        <w:rPr>
          <w:sz w:val="22"/>
        </w:rPr>
        <w:t>These proposals have been developed using assumptions regarding the contractual transportation and storage assets of Greeley and ENA would need to understand the specifics surrounding those contracts in order to verify our assumptions.</w:t>
      </w:r>
    </w:p>
    <w:p>
      <w:pPr>
        <w:pStyle w:val="Normal"/>
        <w:rPr>
          <w:sz w:val="22"/>
        </w:rPr>
      </w:pPr>
      <w:r>
        <w:rPr>
          <w:sz w:val="22"/>
        </w:rPr>
      </w:r>
    </w:p>
    <w:p>
      <w:pPr>
        <w:pStyle w:val="Normal"/>
        <w:rPr>
          <w:sz w:val="22"/>
        </w:rPr>
      </w:pPr>
      <w:r>
        <w:rPr>
          <w:sz w:val="22"/>
        </w:rPr>
        <w:t>All of the following bids include rights to trigger a fixed commodity price based on NYMEX for any future month(s) at mutually agreeable terms and conditions.</w:t>
      </w:r>
    </w:p>
    <w:p>
      <w:pPr>
        <w:pStyle w:val="Normal"/>
        <w:rPr>
          <w:sz w:val="22"/>
        </w:rPr>
      </w:pPr>
      <w:r>
        <w:rPr>
          <w:sz w:val="22"/>
        </w:rPr>
      </w:r>
    </w:p>
    <w:p>
      <w:pPr>
        <w:pStyle w:val="Normal"/>
        <w:rPr>
          <w:sz w:val="22"/>
        </w:rPr>
      </w:pPr>
      <w:r>
        <w:rPr>
          <w:sz w:val="22"/>
        </w:rPr>
        <w:t>For each package, Greeley will nominate a firm daily base load quantity and swing load quantity, if necessary, at least seven days prior to the first day of flow for the following month.  Greeley will be obligated to take the base load quantity every day of the applicable month.  Greeley will also have the right to call for firm swing quantities on a daily basis, including weekends.</w:t>
      </w:r>
      <w:r>
        <w:br w:type="page"/>
      </w:r>
    </w:p>
    <w:p>
      <w:pPr>
        <w:pStyle w:val="Heading1"/>
        <w:ind w:hanging="180" w:start="0" w:end="0"/>
        <w:rPr>
          <w:sz w:val="26"/>
          <w:u w:val="single"/>
        </w:rPr>
      </w:pPr>
      <w:r>
        <w:rPr>
          <w:sz w:val="26"/>
          <w:u w:val="single"/>
        </w:rPr>
        <w:t>Package #1</w:t>
      </w:r>
    </w:p>
    <w:p>
      <w:pPr>
        <w:pStyle w:val="Heading1"/>
        <w:ind w:hanging="0" w:start="0"/>
        <w:rPr>
          <w:sz w:val="22"/>
        </w:rPr>
      </w:pPr>
      <w:r>
        <w:drawing>
          <wp:anchor behindDoc="0" distT="0" distB="0" distL="114935" distR="114935" simplePos="0" locked="0" layoutInCell="1" allowOverlap="1" relativeHeight="5">
            <wp:simplePos x="0" y="0"/>
            <wp:positionH relativeFrom="column">
              <wp:posOffset>4857750</wp:posOffset>
            </wp:positionH>
            <wp:positionV relativeFrom="paragraph">
              <wp:posOffset>-755015</wp:posOffset>
            </wp:positionV>
            <wp:extent cx="733425" cy="737235"/>
            <wp:effectExtent l="0" t="0" r="0" b="0"/>
            <wp:wrapNone/>
            <wp:docPr id="1" name="LogoWh"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h" descr="" title=""/>
                    <pic:cNvPicPr>
                      <a:picLocks noChangeAspect="1" noChangeArrowheads="1"/>
                    </pic:cNvPicPr>
                  </pic:nvPicPr>
                  <pic:blipFill>
                    <a:blip r:embed="rId2"/>
                    <a:srcRect l="-6" t="-6" r="-6" b="-6"/>
                    <a:stretch>
                      <a:fillRect/>
                    </a:stretch>
                  </pic:blipFill>
                  <pic:spPr bwMode="auto">
                    <a:xfrm>
                      <a:off x="0" y="0"/>
                      <a:ext cx="733425" cy="737235"/>
                    </a:xfrm>
                    <a:prstGeom prst="rect">
                      <a:avLst/>
                    </a:prstGeom>
                    <a:noFill/>
                  </pic:spPr>
                </pic:pic>
              </a:graphicData>
            </a:graphic>
          </wp:anchor>
        </w:drawing>
      </w:r>
      <w:r>
        <w:rPr>
          <w:sz w:val="26"/>
        </w:rPr>
        <w:t>PSCo Southern System</w:t>
      </w:r>
    </w:p>
    <w:p>
      <w:pPr>
        <w:pStyle w:val="Normal"/>
        <w:rPr/>
      </w:pPr>
      <w:r>
        <w:rPr>
          <w:sz w:val="22"/>
          <w:u w:val="single"/>
        </w:rPr>
        <w:t>Term</w:t>
      </w:r>
      <w:r>
        <w:rPr>
          <w:sz w:val="22"/>
        </w:rPr>
        <w:t xml:space="preserve">:  </w:t>
        <w:tab/>
        <w:tab/>
        <w:tab/>
        <w:t>April 1, 2001 – October 31, 2001</w:t>
      </w:r>
    </w:p>
    <w:p>
      <w:pPr>
        <w:pStyle w:val="Normal"/>
        <w:rPr>
          <w:sz w:val="22"/>
        </w:rPr>
      </w:pPr>
      <w:r>
        <w:rPr>
          <w:sz w:val="22"/>
        </w:rPr>
      </w:r>
    </w:p>
    <w:p>
      <w:pPr>
        <w:pStyle w:val="Normal"/>
        <w:rPr/>
      </w:pPr>
      <w:r>
        <w:rPr>
          <w:sz w:val="22"/>
          <w:u w:val="single"/>
        </w:rPr>
        <w:t>Base Load Pricing</w:t>
      </w:r>
      <w:r>
        <w:rPr>
          <w:sz w:val="22"/>
        </w:rPr>
        <w:t xml:space="preserve">:  </w:t>
        <w:tab/>
        <w:t>Inside FERC-El Paso, San Juan Index minus $.25 per MMBtu</w:t>
      </w:r>
    </w:p>
    <w:p>
      <w:pPr>
        <w:pStyle w:val="Normal"/>
        <w:rPr>
          <w:sz w:val="22"/>
          <w:u w:val="single"/>
        </w:rPr>
      </w:pPr>
      <w:r>
        <w:rPr>
          <w:sz w:val="22"/>
          <w:u w:val="single"/>
        </w:rPr>
      </w:r>
    </w:p>
    <w:p>
      <w:pPr>
        <w:pStyle w:val="Normal"/>
        <w:rPr/>
      </w:pPr>
      <w:r>
        <w:rPr>
          <w:sz w:val="22"/>
          <w:u w:val="single"/>
        </w:rPr>
        <w:t>Swing Load Pricing</w:t>
      </w:r>
      <w:r>
        <w:rPr>
          <w:sz w:val="22"/>
        </w:rPr>
        <w:t xml:space="preserve">: </w:t>
        <w:tab/>
        <w:t>Gas Daily El Paso, Non-Bondad Midpoint minus $.25 per MMBtu</w:t>
      </w:r>
    </w:p>
    <w:p>
      <w:pPr>
        <w:pStyle w:val="Normal"/>
        <w:rPr>
          <w:sz w:val="22"/>
          <w:u w:val="single"/>
        </w:rPr>
      </w:pPr>
      <w:r>
        <w:rPr>
          <w:sz w:val="22"/>
          <w:u w:val="single"/>
        </w:rPr>
      </w:r>
    </w:p>
    <w:p>
      <w:pPr>
        <w:pStyle w:val="Normal"/>
        <w:rPr/>
      </w:pPr>
      <w:r>
        <w:rPr>
          <w:sz w:val="22"/>
          <w:u w:val="single"/>
        </w:rPr>
        <w:t>Max Daily Quantity</w:t>
      </w:r>
      <w:r>
        <w:rPr>
          <w:sz w:val="22"/>
        </w:rPr>
        <w:t xml:space="preserve">:  </w:t>
        <w:tab/>
        <w:t>7,200 MMBtu per day</w:t>
      </w:r>
    </w:p>
    <w:p>
      <w:pPr>
        <w:pStyle w:val="Normal"/>
        <w:rPr>
          <w:sz w:val="22"/>
          <w:u w:val="single"/>
        </w:rPr>
      </w:pPr>
      <w:r>
        <w:rPr>
          <w:sz w:val="22"/>
          <w:u w:val="single"/>
        </w:rPr>
      </w:r>
    </w:p>
    <w:p>
      <w:pPr>
        <w:pStyle w:val="Normal"/>
        <w:rPr/>
      </w:pPr>
      <w:r>
        <w:rPr>
          <w:sz w:val="22"/>
          <w:u w:val="single"/>
        </w:rPr>
        <w:t>Delivery Point</w:t>
      </w:r>
      <w:r>
        <w:rPr>
          <w:sz w:val="22"/>
        </w:rPr>
        <w:t xml:space="preserve">:  </w:t>
        <w:tab/>
        <w:t>Tiffany</w:t>
      </w:r>
    </w:p>
    <w:p>
      <w:pPr>
        <w:pStyle w:val="Normal"/>
        <w:rPr>
          <w:sz w:val="22"/>
        </w:rPr>
      </w:pPr>
      <w:r>
        <w:rPr>
          <w:sz w:val="22"/>
        </w:rPr>
      </w:r>
    </w:p>
    <w:p>
      <w:pPr>
        <w:pStyle w:val="Heading1"/>
        <w:ind w:hanging="0" w:start="0"/>
        <w:rPr>
          <w:sz w:val="26"/>
        </w:rPr>
      </w:pPr>
      <w:r>
        <w:rPr>
          <w:sz w:val="26"/>
        </w:rPr>
        <w:t>PSCo Western System</w:t>
      </w:r>
    </w:p>
    <w:p>
      <w:pPr>
        <w:pStyle w:val="Normal"/>
        <w:rPr/>
      </w:pPr>
      <w:r>
        <w:rPr>
          <w:sz w:val="22"/>
          <w:u w:val="single"/>
        </w:rPr>
        <w:t>Term</w:t>
      </w:r>
      <w:r>
        <w:rPr>
          <w:sz w:val="22"/>
        </w:rPr>
        <w:t xml:space="preserve">:  </w:t>
        <w:tab/>
        <w:tab/>
        <w:tab/>
        <w:t>April 1, 2001 – October 31, 2001</w:t>
      </w:r>
    </w:p>
    <w:p>
      <w:pPr>
        <w:pStyle w:val="Normal"/>
        <w:ind w:hanging="2160" w:start="2160" w:end="0"/>
        <w:rPr>
          <w:sz w:val="22"/>
          <w:u w:val="single"/>
        </w:rPr>
      </w:pPr>
      <w:r>
        <w:rPr>
          <w:sz w:val="22"/>
          <w:u w:val="single"/>
        </w:rPr>
      </w:r>
    </w:p>
    <w:p>
      <w:pPr>
        <w:pStyle w:val="Normal"/>
        <w:ind w:hanging="2160" w:start="2160" w:end="0"/>
        <w:rPr/>
      </w:pPr>
      <w:r>
        <w:rPr>
          <w:sz w:val="22"/>
          <w:u w:val="single"/>
        </w:rPr>
        <w:t>Base Load Pricing</w:t>
      </w:r>
      <w:r>
        <w:rPr>
          <w:sz w:val="22"/>
        </w:rPr>
        <w:t xml:space="preserve">:  </w:t>
        <w:tab/>
        <w:t>Inside FERC-Northwest, Rocky Mountains Index plus $.01 per MMBtu</w:t>
      </w:r>
    </w:p>
    <w:p>
      <w:pPr>
        <w:pStyle w:val="Normal"/>
        <w:rPr>
          <w:sz w:val="22"/>
          <w:u w:val="single"/>
        </w:rPr>
      </w:pPr>
      <w:r>
        <w:rPr>
          <w:sz w:val="22"/>
          <w:u w:val="single"/>
        </w:rPr>
      </w:r>
    </w:p>
    <w:p>
      <w:pPr>
        <w:pStyle w:val="Normal"/>
        <w:rPr/>
      </w:pPr>
      <w:r>
        <w:rPr>
          <w:sz w:val="22"/>
          <w:u w:val="single"/>
        </w:rPr>
        <w:t>Swing Load Pricing</w:t>
      </w:r>
      <w:r>
        <w:rPr>
          <w:sz w:val="22"/>
        </w:rPr>
        <w:t xml:space="preserve">:  </w:t>
        <w:tab/>
        <w:t>Gas Daily Kern River/Opal Plant Midpoint</w:t>
      </w:r>
    </w:p>
    <w:p>
      <w:pPr>
        <w:pStyle w:val="Normal"/>
        <w:rPr>
          <w:sz w:val="22"/>
          <w:u w:val="single"/>
        </w:rPr>
      </w:pPr>
      <w:r>
        <w:rPr>
          <w:sz w:val="22"/>
          <w:u w:val="single"/>
        </w:rPr>
      </w:r>
    </w:p>
    <w:p>
      <w:pPr>
        <w:pStyle w:val="Normal"/>
        <w:rPr/>
      </w:pPr>
      <w:r>
        <w:rPr>
          <w:sz w:val="22"/>
          <w:u w:val="single"/>
        </w:rPr>
        <w:t>Max Daily Quantity</w:t>
      </w:r>
      <w:r>
        <w:rPr>
          <w:sz w:val="22"/>
        </w:rPr>
        <w:t xml:space="preserve">:  </w:t>
        <w:tab/>
        <w:t>12,000 MMBtu per day</w:t>
      </w:r>
    </w:p>
    <w:p>
      <w:pPr>
        <w:pStyle w:val="Normal"/>
        <w:rPr>
          <w:sz w:val="22"/>
          <w:u w:val="single"/>
        </w:rPr>
      </w:pPr>
      <w:r>
        <w:rPr>
          <w:sz w:val="22"/>
          <w:u w:val="single"/>
        </w:rPr>
      </w:r>
    </w:p>
    <w:p>
      <w:pPr>
        <w:pStyle w:val="Normal"/>
        <w:rPr/>
      </w:pPr>
      <w:r>
        <w:rPr>
          <w:sz w:val="22"/>
          <w:u w:val="single"/>
        </w:rPr>
        <w:t>Delivery Point</w:t>
      </w:r>
      <w:r>
        <w:rPr>
          <w:sz w:val="22"/>
        </w:rPr>
        <w:t xml:space="preserve">:  </w:t>
        <w:tab/>
        <w:t>Mutually agreeable points</w:t>
      </w:r>
    </w:p>
    <w:p>
      <w:pPr>
        <w:pStyle w:val="Normal"/>
        <w:rPr>
          <w:sz w:val="22"/>
        </w:rPr>
      </w:pPr>
      <w:r>
        <w:rPr>
          <w:sz w:val="22"/>
        </w:rPr>
      </w:r>
    </w:p>
    <w:p>
      <w:pPr>
        <w:pStyle w:val="Heading1"/>
        <w:ind w:hanging="180" w:start="0" w:end="0"/>
        <w:rPr>
          <w:sz w:val="26"/>
          <w:u w:val="single"/>
        </w:rPr>
      </w:pPr>
      <w:r>
        <w:rPr>
          <w:sz w:val="26"/>
          <w:u w:val="single"/>
        </w:rPr>
        <w:t>Package #2</w:t>
      </w:r>
    </w:p>
    <w:p>
      <w:pPr>
        <w:pStyle w:val="Heading1"/>
        <w:ind w:hanging="0" w:start="0"/>
        <w:rPr>
          <w:sz w:val="22"/>
        </w:rPr>
      </w:pPr>
      <w:r>
        <w:rPr>
          <w:sz w:val="26"/>
        </w:rPr>
        <w:t>Questar System</w:t>
      </w:r>
    </w:p>
    <w:p>
      <w:pPr>
        <w:pStyle w:val="Normal"/>
        <w:rPr/>
      </w:pPr>
      <w:r>
        <w:rPr>
          <w:sz w:val="22"/>
          <w:u w:val="single"/>
        </w:rPr>
        <w:t>Term</w:t>
      </w:r>
      <w:r>
        <w:rPr>
          <w:sz w:val="22"/>
        </w:rPr>
        <w:t xml:space="preserve">:  </w:t>
        <w:tab/>
        <w:tab/>
        <w:tab/>
        <w:t>April 1, 2001 – October 31, 2001</w:t>
      </w:r>
    </w:p>
    <w:p>
      <w:pPr>
        <w:pStyle w:val="Normal"/>
        <w:ind w:hanging="2160" w:start="2160" w:end="0"/>
        <w:rPr>
          <w:sz w:val="22"/>
          <w:u w:val="single"/>
        </w:rPr>
      </w:pPr>
      <w:r>
        <w:rPr>
          <w:sz w:val="22"/>
          <w:u w:val="single"/>
        </w:rPr>
      </w:r>
    </w:p>
    <w:p>
      <w:pPr>
        <w:pStyle w:val="Normal"/>
        <w:ind w:hanging="2160" w:start="2160" w:end="0"/>
        <w:rPr/>
      </w:pPr>
      <w:r>
        <w:rPr>
          <w:sz w:val="22"/>
          <w:u w:val="single"/>
        </w:rPr>
        <w:t>Base Load Pricing</w:t>
      </w:r>
      <w:r>
        <w:rPr>
          <w:sz w:val="22"/>
        </w:rPr>
        <w:t xml:space="preserve">:  </w:t>
        <w:tab/>
        <w:t>Inside FERC-Northwest, Rocky Mountains Index minus $.01 per MMBtu</w:t>
      </w:r>
    </w:p>
    <w:p>
      <w:pPr>
        <w:pStyle w:val="Normal"/>
        <w:ind w:hanging="2160" w:start="2160" w:end="0"/>
        <w:rPr>
          <w:sz w:val="22"/>
          <w:u w:val="single"/>
        </w:rPr>
      </w:pPr>
      <w:r>
        <w:rPr>
          <w:sz w:val="22"/>
          <w:u w:val="single"/>
        </w:rPr>
      </w:r>
    </w:p>
    <w:p>
      <w:pPr>
        <w:pStyle w:val="Normal"/>
        <w:ind w:hanging="2160" w:start="2160" w:end="0"/>
        <w:rPr/>
      </w:pPr>
      <w:r>
        <w:rPr>
          <w:sz w:val="22"/>
          <w:u w:val="single"/>
        </w:rPr>
        <w:t>Swing Load Pricing</w:t>
      </w:r>
      <w:r>
        <w:rPr>
          <w:sz w:val="22"/>
        </w:rPr>
        <w:t xml:space="preserve">:  </w:t>
        <w:tab/>
        <w:t>Gas Daily NW, Wyoming Pool Midpoint</w:t>
      </w:r>
    </w:p>
    <w:p>
      <w:pPr>
        <w:pStyle w:val="Normal"/>
        <w:ind w:hanging="2160" w:start="2160" w:end="0"/>
        <w:rPr>
          <w:sz w:val="22"/>
          <w:u w:val="single"/>
        </w:rPr>
      </w:pPr>
      <w:r>
        <w:rPr>
          <w:sz w:val="22"/>
          <w:u w:val="single"/>
        </w:rPr>
      </w:r>
    </w:p>
    <w:p>
      <w:pPr>
        <w:pStyle w:val="Normal"/>
        <w:ind w:hanging="2160" w:start="2160" w:end="0"/>
        <w:rPr/>
      </w:pPr>
      <w:r>
        <w:rPr>
          <w:sz w:val="22"/>
          <w:u w:val="single"/>
        </w:rPr>
        <w:t>Max Daily Quantity</w:t>
      </w:r>
      <w:r>
        <w:rPr>
          <w:sz w:val="22"/>
        </w:rPr>
        <w:t xml:space="preserve">:  </w:t>
        <w:tab/>
        <w:t>4,000 MMBtu per day</w:t>
      </w:r>
    </w:p>
    <w:p>
      <w:pPr>
        <w:pStyle w:val="Normal"/>
        <w:ind w:hanging="2160" w:start="2160" w:end="0"/>
        <w:rPr>
          <w:sz w:val="22"/>
          <w:u w:val="single"/>
        </w:rPr>
      </w:pPr>
      <w:r>
        <w:rPr>
          <w:sz w:val="22"/>
          <w:u w:val="single"/>
        </w:rPr>
      </w:r>
    </w:p>
    <w:p>
      <w:pPr>
        <w:pStyle w:val="Normal"/>
        <w:ind w:hanging="2160" w:start="2160" w:end="0"/>
        <w:rPr/>
      </w:pPr>
      <w:r>
        <w:rPr>
          <w:sz w:val="22"/>
          <w:u w:val="single"/>
        </w:rPr>
        <w:t>Delivery Point</w:t>
      </w:r>
      <w:r>
        <w:rPr>
          <w:sz w:val="22"/>
        </w:rPr>
        <w:t xml:space="preserve">:  </w:t>
        <w:tab/>
        <w:t>Greeley Gas’ City Gate</w:t>
      </w:r>
    </w:p>
    <w:p>
      <w:pPr>
        <w:pStyle w:val="BodyTextIndent"/>
        <w:ind w:hanging="2160" w:start="2160" w:end="0"/>
        <w:rPr>
          <w:sz w:val="22"/>
          <w:u w:val="single"/>
        </w:rPr>
      </w:pPr>
      <w:r>
        <w:rPr>
          <w:sz w:val="22"/>
          <w:u w:val="single"/>
        </w:rPr>
      </w:r>
    </w:p>
    <w:p>
      <w:pPr>
        <w:pStyle w:val="BodyTextIndent"/>
        <w:ind w:hanging="2160" w:start="2160" w:end="0"/>
        <w:rPr/>
      </w:pPr>
      <w:r>
        <w:rPr>
          <w:sz w:val="22"/>
          <w:u w:val="single"/>
        </w:rPr>
        <w:t>Capacity Release</w:t>
      </w:r>
      <w:r>
        <w:rPr>
          <w:sz w:val="22"/>
        </w:rPr>
        <w:t xml:space="preserve">:  </w:t>
        <w:tab/>
        <w:t>Greeley would release the 4,000 MMBtu per day of Questar capacity to ENA at the contract rate.  ENA would administer the contract, with Greeley reimbursing ENA for 100% of the demand charges and the volumetric charges associated with deliveries for Greeley Gas.</w:t>
      </w:r>
    </w:p>
    <w:p>
      <w:pPr>
        <w:pStyle w:val="Normal"/>
        <w:rPr>
          <w:sz w:val="22"/>
        </w:rPr>
      </w:pPr>
      <w:r>
        <w:rPr>
          <w:sz w:val="22"/>
        </w:rPr>
      </w:r>
    </w:p>
    <w:p>
      <w:pPr>
        <w:pStyle w:val="Heading1"/>
        <w:ind w:hanging="180" w:start="0" w:end="0"/>
        <w:rPr>
          <w:sz w:val="26"/>
          <w:u w:val="single"/>
        </w:rPr>
      </w:pPr>
      <w:r>
        <w:rPr>
          <w:sz w:val="26"/>
          <w:u w:val="single"/>
        </w:rPr>
        <w:t>Package #3</w:t>
      </w:r>
    </w:p>
    <w:p>
      <w:pPr>
        <w:pStyle w:val="Heading1"/>
        <w:ind w:hanging="0" w:start="0"/>
        <w:rPr>
          <w:sz w:val="26"/>
        </w:rPr>
      </w:pPr>
      <w:r>
        <w:rPr>
          <w:sz w:val="26"/>
        </w:rPr>
        <w:t>CIG/PSCo Front Range Systems</w:t>
      </w:r>
    </w:p>
    <w:p>
      <w:pPr>
        <w:pStyle w:val="Normal"/>
        <w:rPr/>
      </w:pPr>
      <w:r>
        <w:rPr>
          <w:sz w:val="22"/>
          <w:u w:val="single"/>
        </w:rPr>
        <w:t>Term</w:t>
      </w:r>
      <w:r>
        <w:rPr>
          <w:sz w:val="22"/>
        </w:rPr>
        <w:t xml:space="preserve">:  </w:t>
        <w:tab/>
        <w:tab/>
        <w:tab/>
        <w:t>April 1, 2001 – October 31, 2001</w:t>
      </w:r>
    </w:p>
    <w:p>
      <w:pPr>
        <w:pStyle w:val="Normal"/>
        <w:ind w:hanging="2160" w:start="2160" w:end="0"/>
        <w:rPr>
          <w:sz w:val="22"/>
          <w:u w:val="single"/>
        </w:rPr>
      </w:pPr>
      <w:r>
        <w:rPr>
          <w:sz w:val="22"/>
          <w:u w:val="single"/>
        </w:rPr>
      </w:r>
    </w:p>
    <w:p>
      <w:pPr>
        <w:pStyle w:val="Normal"/>
        <w:ind w:hanging="2160" w:start="2160" w:end="0"/>
        <w:rPr/>
      </w:pPr>
      <w:r>
        <w:rPr>
          <w:sz w:val="22"/>
          <w:u w:val="single"/>
        </w:rPr>
        <w:t>Base Load Pricing</w:t>
      </w:r>
      <w:r>
        <w:rPr>
          <w:sz w:val="22"/>
        </w:rPr>
        <w:t xml:space="preserve">:  </w:t>
        <w:tab/>
        <w:t>Inside FERC-CIG, Rocky Mountains Index minus $.03 per MMBtu</w:t>
      </w:r>
    </w:p>
    <w:p>
      <w:pPr>
        <w:pStyle w:val="Normal"/>
        <w:rPr>
          <w:sz w:val="22"/>
          <w:u w:val="single"/>
        </w:rPr>
      </w:pPr>
      <w:r>
        <w:rPr>
          <w:sz w:val="22"/>
          <w:u w:val="single"/>
        </w:rPr>
      </w:r>
    </w:p>
    <w:p>
      <w:pPr>
        <w:pStyle w:val="Normal"/>
        <w:rPr/>
      </w:pPr>
      <w:r>
        <w:rPr>
          <w:sz w:val="22"/>
          <w:u w:val="single"/>
        </w:rPr>
        <w:t>Swing Load Pricing</w:t>
      </w:r>
      <w:r>
        <w:rPr>
          <w:sz w:val="22"/>
        </w:rPr>
        <w:t xml:space="preserve">:  </w:t>
        <w:tab/>
        <w:t>Gas Daily CIG (N. Syst) Midpoint minus $.03</w:t>
      </w:r>
    </w:p>
    <w:p>
      <w:pPr>
        <w:pStyle w:val="Normal"/>
        <w:rPr>
          <w:sz w:val="22"/>
          <w:u w:val="single"/>
        </w:rPr>
      </w:pPr>
      <w:r>
        <w:rPr>
          <w:sz w:val="22"/>
          <w:u w:val="single"/>
        </w:rPr>
      </w:r>
    </w:p>
    <w:p>
      <w:pPr>
        <w:pStyle w:val="Normal"/>
        <w:rPr/>
      </w:pPr>
      <w:r>
        <w:drawing>
          <wp:anchor behindDoc="0" distT="0" distB="0" distL="114935" distR="114935" simplePos="0" locked="0" layoutInCell="1" allowOverlap="1" relativeHeight="6">
            <wp:simplePos x="0" y="0"/>
            <wp:positionH relativeFrom="column">
              <wp:posOffset>4886325</wp:posOffset>
            </wp:positionH>
            <wp:positionV relativeFrom="paragraph">
              <wp:posOffset>-546100</wp:posOffset>
            </wp:positionV>
            <wp:extent cx="733425" cy="737235"/>
            <wp:effectExtent l="0" t="0" r="0" b="0"/>
            <wp:wrapNone/>
            <wp:docPr id="2" name="LogoWh"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Wh" descr="" title=""/>
                    <pic:cNvPicPr>
                      <a:picLocks noChangeAspect="1" noChangeArrowheads="1"/>
                    </pic:cNvPicPr>
                  </pic:nvPicPr>
                  <pic:blipFill>
                    <a:blip r:embed="rId3"/>
                    <a:srcRect l="-6" t="-6" r="-6" b="-6"/>
                    <a:stretch>
                      <a:fillRect/>
                    </a:stretch>
                  </pic:blipFill>
                  <pic:spPr bwMode="auto">
                    <a:xfrm>
                      <a:off x="0" y="0"/>
                      <a:ext cx="733425" cy="737235"/>
                    </a:xfrm>
                    <a:prstGeom prst="rect">
                      <a:avLst/>
                    </a:prstGeom>
                    <a:noFill/>
                  </pic:spPr>
                </pic:pic>
              </a:graphicData>
            </a:graphic>
          </wp:anchor>
        </w:drawing>
      </w:r>
      <w:r>
        <w:rPr>
          <w:sz w:val="22"/>
          <w:u w:val="single"/>
        </w:rPr>
        <w:t>Max Daily Quantity</w:t>
      </w:r>
      <w:r>
        <w:rPr>
          <w:sz w:val="22"/>
        </w:rPr>
        <w:t xml:space="preserve">:  </w:t>
        <w:tab/>
        <w:t>44,000 MMBtu per day</w:t>
      </w:r>
    </w:p>
    <w:p>
      <w:pPr>
        <w:pStyle w:val="Normal"/>
        <w:ind w:hanging="2160" w:start="2160" w:end="0"/>
        <w:rPr>
          <w:sz w:val="22"/>
          <w:u w:val="single"/>
        </w:rPr>
      </w:pPr>
      <w:r>
        <w:rPr>
          <w:sz w:val="22"/>
          <w:u w:val="single"/>
        </w:rPr>
      </w:r>
    </w:p>
    <w:p>
      <w:pPr>
        <w:pStyle w:val="Normal"/>
        <w:ind w:hanging="2160" w:start="2160" w:end="0"/>
        <w:rPr/>
      </w:pPr>
      <w:r>
        <w:rPr>
          <w:sz w:val="22"/>
          <w:u w:val="single"/>
        </w:rPr>
        <w:t>Delivery Points</w:t>
      </w:r>
      <w:r>
        <w:rPr>
          <w:sz w:val="22"/>
        </w:rPr>
        <w:t>:</w:t>
        <w:tab/>
        <w:t>a) First 20,000 MMBtu per day – See capacity release provision below</w:t>
      </w:r>
    </w:p>
    <w:p>
      <w:pPr>
        <w:pStyle w:val="Normal"/>
        <w:ind w:start="2160" w:end="0"/>
        <w:rPr>
          <w:sz w:val="22"/>
        </w:rPr>
      </w:pPr>
      <w:r>
        <w:rPr>
          <w:sz w:val="22"/>
        </w:rPr>
        <w:t>b) Additional 24,000 MMBtu per day – Mutually agreeable PSCo Front Range points</w:t>
      </w:r>
    </w:p>
    <w:p>
      <w:pPr>
        <w:pStyle w:val="Normal"/>
        <w:ind w:hanging="2160" w:start="2160" w:end="0"/>
        <w:rPr>
          <w:sz w:val="22"/>
          <w:u w:val="single"/>
        </w:rPr>
      </w:pPr>
      <w:r>
        <w:rPr>
          <w:sz w:val="22"/>
          <w:u w:val="single"/>
        </w:rPr>
      </w:r>
    </w:p>
    <w:p>
      <w:pPr>
        <w:pStyle w:val="Normal"/>
        <w:ind w:hanging="2160" w:start="2160" w:end="0"/>
        <w:rPr/>
      </w:pPr>
      <w:r>
        <w:rPr>
          <w:sz w:val="22"/>
          <w:u w:val="single"/>
        </w:rPr>
        <w:t>Capacity Release</w:t>
      </w:r>
      <w:r>
        <w:rPr>
          <w:sz w:val="22"/>
        </w:rPr>
        <w:t xml:space="preserve">:  </w:t>
        <w:tab/>
        <w:t>Greeley would release their 20,000 MMBtu per day of CIG/WIC capacity to ENA at the contract rate.  ENA would administer the contract, with Greeley reimbursing ENA for 100% of the demand charges and the volumetric charges associated with deliveries for Greeley Gas.  Furthermore, ENA would act as agent on Greeley’s 44,000 MMBtu per day of PSCo Front Range capacity.</w:t>
      </w:r>
    </w:p>
    <w:p>
      <w:pPr>
        <w:pStyle w:val="Normal"/>
        <w:ind w:hanging="2160" w:start="2160" w:end="0"/>
        <w:rPr>
          <w:sz w:val="22"/>
          <w:u w:val="single"/>
        </w:rPr>
      </w:pPr>
      <w:r>
        <w:rPr>
          <w:sz w:val="22"/>
          <w:u w:val="single"/>
        </w:rPr>
      </w:r>
    </w:p>
    <w:p>
      <w:pPr>
        <w:pStyle w:val="Normal"/>
        <w:ind w:hanging="2160" w:start="2160" w:end="0"/>
        <w:rPr/>
      </w:pPr>
      <w:r>
        <w:rPr>
          <w:sz w:val="22"/>
          <w:u w:val="single"/>
        </w:rPr>
        <w:t>Storage Release</w:t>
      </w:r>
      <w:r>
        <w:rPr>
          <w:sz w:val="22"/>
        </w:rPr>
        <w:t xml:space="preserve">:  </w:t>
        <w:tab/>
        <w:t>ENA would also like to propose that Greeley also release its 640,000 Mcf of Young and 430,000 Mcf of CIG storage capacity and any associated transportation to ENA at the contract rates.  ENA would fill the storage facilities over the course of the injection season and charge Greeley Inside FERC-CIG, Rocky Mountains Index minus $.05 per MMBtu for the storage gas, with the sales distributed uniformly across the injection months.  ENA would administer the contract, with Greeley reimbursing ENA for 100% of the demand charges and the volumetric charges associated with injections for Greeley Gas.  Upon completion of the injection season, ENA would return the storage capacity full.</w:t>
      </w:r>
    </w:p>
    <w:p>
      <w:pPr>
        <w:pStyle w:val="Normal"/>
        <w:rPr>
          <w:sz w:val="22"/>
        </w:rPr>
      </w:pPr>
      <w:r>
        <w:rPr>
          <w:sz w:val="22"/>
        </w:rPr>
      </w:r>
    </w:p>
    <w:p>
      <w:pPr>
        <w:pStyle w:val="Normal"/>
        <w:rPr>
          <w:sz w:val="22"/>
        </w:rPr>
      </w:pPr>
      <w:r>
        <w:rPr>
          <w:sz w:val="22"/>
        </w:rPr>
      </w:r>
    </w:p>
    <w:p>
      <w:pPr>
        <w:pStyle w:val="Normal"/>
        <w:rPr>
          <w:b/>
          <w:bCs/>
          <w:color w:val="000000"/>
          <w:sz w:val="22"/>
          <w:szCs w:val="22"/>
        </w:rPr>
      </w:pPr>
      <w:r>
        <w:rPr>
          <w:b/>
          <w:bCs/>
          <w:color w:val="000000"/>
          <w:sz w:val="22"/>
          <w:szCs w:val="22"/>
        </w:rPr>
        <w:t>THIS TERM SHEET PROPOSAL IS FOR DISCUSSION PURPOSES ONLY TO FACILITATE THE NEGOTIATION PREPARATION AND EXECUTION OF A DEFINITIVE AGREEMENT.  THIS TERM SHEET PROPOSAL IS NOT AN OFFER OR COMMITMENT BY BUYER OR ANY AFFILIATE OF ENRON NORTH AMERICA CORP.   ALL PRICES AND TERMS ARE SUBJECT TO CHANGE UNTIL SUCH TIME WHEN A DEFINITIVE AGREEMENT MAY BE SIGNED.  THIS TERM SHEET PROPOSAL IS NOT INTENDED TO CREATE A BINDING OR ENFORCABLE AGREEMENT OR CONTRACT OR TO BE COMPLETE AND INCLUSIVE OF ALL THE TERMS OF THE SUBJECT TRANSACTION.  FURTHERMORE, THIS TERM SHEET PROPOSAL IS NOT A COMMITMENT OR AGREEMENT TO ENTER INTO A BINDING AGREEMENT OR CONTRACT IN THE FUTURE.</w:t>
      </w:r>
    </w:p>
    <w:p>
      <w:pPr>
        <w:pStyle w:val="Normal"/>
        <w:rPr>
          <w:b/>
          <w:bCs/>
          <w:color w:val="000000"/>
          <w:sz w:val="22"/>
          <w:szCs w:val="22"/>
        </w:rPr>
      </w:pPr>
      <w:r>
        <w:rPr>
          <w:b/>
          <w:bCs/>
          <w:color w:val="000000"/>
          <w:sz w:val="22"/>
          <w:szCs w:val="22"/>
        </w:rPr>
      </w:r>
    </w:p>
    <w:p>
      <w:pPr>
        <w:pStyle w:val="Normal"/>
        <w:rPr>
          <w:b/>
          <w:bCs/>
          <w:color w:val="000000"/>
          <w:sz w:val="22"/>
          <w:szCs w:val="22"/>
        </w:rPr>
      </w:pPr>
      <w:r>
        <w:rPr>
          <w:b/>
          <w:bCs/>
          <w:color w:val="000000"/>
          <w:sz w:val="22"/>
          <w:szCs w:val="22"/>
        </w:rPr>
      </w:r>
    </w:p>
    <w:p>
      <w:pPr>
        <w:pStyle w:val="Normal"/>
        <w:rPr/>
      </w:pPr>
      <w:r>
        <w:rPr>
          <w:color w:val="000000"/>
          <w:sz w:val="22"/>
          <w:szCs w:val="22"/>
        </w:rPr>
        <w:t xml:space="preserve">Please feel free to contact me at 303-575-6474 or e-mail at </w:t>
      </w:r>
      <w:hyperlink r:id="rId4">
        <w:r>
          <w:rPr>
            <w:rStyle w:val="Hyperlink"/>
            <w:sz w:val="22"/>
            <w:szCs w:val="22"/>
          </w:rPr>
          <w:t>paul.lucci@enron.com</w:t>
        </w:r>
      </w:hyperlink>
      <w:r>
        <w:rPr>
          <w:color w:val="000000"/>
          <w:sz w:val="22"/>
          <w:szCs w:val="22"/>
        </w:rPr>
        <w:t xml:space="preserve"> if you have any questions.</w:t>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t>Sincerely,</w:t>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t>Paul Lucci</w:t>
      </w:r>
    </w:p>
    <w:p>
      <w:pPr>
        <w:pStyle w:val="Normal"/>
        <w:rPr>
          <w:color w:val="000000"/>
          <w:sz w:val="22"/>
          <w:szCs w:val="22"/>
        </w:rPr>
      </w:pPr>
      <w:r>
        <w:rPr>
          <w:color w:val="000000"/>
          <w:sz w:val="22"/>
          <w:szCs w:val="22"/>
        </w:rPr>
        <w:t>Director</w:t>
      </w:r>
    </w:p>
    <w:sectPr>
      <w:footerReference w:type="defaul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tyle>
  <w:style w:type="paragraph" w:styleId="BodyTextIndent2">
    <w:name w:val="Body Text Indent 2"/>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mailto:paul.lucci@enron.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2001-02-28T13:53:00Z</dcterms:created>
  <dc:creator>Preferred Customer</dc:creator>
  <dc:description/>
  <dc:language>en-CA</dc:language>
  <cp:lastModifiedBy>Tyrell</cp:lastModifiedBy>
  <cp:lastPrinted>2001-02-28T13:42:00Z</cp:lastPrinted>
  <dcterms:modified xsi:type="dcterms:W3CDTF">2001-02-28T19:15:00Z</dcterms:modified>
  <cp:revision>20</cp:revision>
  <dc:subject/>
  <dc:title>The following bids include rights to trigger a fixed commodity price based on NYMEX for any future month(s) at mutually agreea</dc:title>
</cp:coreProperties>
</file>