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1"/>
        <w:ind w:hanging="180" w:start="0" w:end="0"/>
        <w:rPr>
          <w:sz w:val="26"/>
          <w:u w:val="single"/>
        </w:rPr>
      </w:pPr>
      <w:r>
        <w:rPr>
          <w:sz w:val="26"/>
          <w:u w:val="single"/>
        </w:rPr>
        <w:t>Greely Gas Deal Specifics</w:t>
      </w:r>
    </w:p>
    <w:p>
      <w:pPr>
        <w:pStyle w:val="Normal"/>
        <w:rPr>
          <w:sz w:val="26"/>
          <w:u w:val="single"/>
        </w:rPr>
      </w:pPr>
      <w:r>
        <w:rPr>
          <w:sz w:val="26"/>
          <w:u w:val="single"/>
        </w:rPr>
      </w:r>
    </w:p>
    <w:p>
      <w:pPr>
        <w:pStyle w:val="Heading1"/>
        <w:ind w:hanging="0" w:start="0"/>
        <w:rPr>
          <w:sz w:val="26"/>
        </w:rPr>
      </w:pPr>
      <w:r>
        <w:rPr>
          <w:sz w:val="26"/>
        </w:rPr>
        <w:t>CIG/PSCo Front Range Systems</w:t>
      </w:r>
    </w:p>
    <w:p>
      <w:pPr>
        <w:pStyle w:val="Normal"/>
        <w:rPr/>
      </w:pPr>
      <w:r>
        <w:rPr>
          <w:sz w:val="22"/>
          <w:u w:val="single"/>
        </w:rPr>
        <w:t>Term</w:t>
      </w:r>
      <w:r>
        <w:rPr>
          <w:sz w:val="22"/>
        </w:rPr>
        <w:t xml:space="preserve">:  </w:t>
        <w:tab/>
        <w:tab/>
        <w:tab/>
        <w:t>April 1, 2001 – October 31, 2001</w:t>
      </w:r>
    </w:p>
    <w:p>
      <w:pPr>
        <w:pStyle w:val="Normal"/>
        <w:ind w:hanging="2160" w:start="2160" w:end="0"/>
        <w:rPr>
          <w:sz w:val="22"/>
          <w:u w:val="single"/>
        </w:rPr>
      </w:pPr>
      <w:r>
        <w:rPr>
          <w:sz w:val="22"/>
          <w:u w:val="single"/>
        </w:rPr>
      </w:r>
    </w:p>
    <w:p>
      <w:pPr>
        <w:pStyle w:val="Normal"/>
        <w:ind w:hanging="2160" w:start="2160" w:end="0"/>
        <w:rPr/>
      </w:pPr>
      <w:r>
        <w:rPr>
          <w:sz w:val="22"/>
          <w:u w:val="single"/>
        </w:rPr>
        <w:t>Base Load Pricing</w:t>
      </w:r>
      <w:r>
        <w:rPr>
          <w:sz w:val="22"/>
        </w:rPr>
        <w:t xml:space="preserve">:  </w:t>
        <w:tab/>
        <w:t>Inside FERC-CIG, Rocky Mountains Index minus $.0425 per MMBtu</w:t>
      </w:r>
    </w:p>
    <w:p>
      <w:pPr>
        <w:pStyle w:val="Normal"/>
        <w:rPr>
          <w:sz w:val="22"/>
          <w:u w:val="single"/>
        </w:rPr>
      </w:pPr>
      <w:r>
        <w:rPr>
          <w:sz w:val="22"/>
          <w:u w:val="single"/>
        </w:rPr>
      </w:r>
    </w:p>
    <w:p>
      <w:pPr>
        <w:pStyle w:val="Normal"/>
        <w:rPr/>
      </w:pPr>
      <w:r>
        <w:rPr>
          <w:sz w:val="22"/>
          <w:u w:val="single"/>
        </w:rPr>
        <w:t>Swing Load Pricing</w:t>
      </w:r>
      <w:r>
        <w:rPr>
          <w:sz w:val="22"/>
        </w:rPr>
        <w:t xml:space="preserve">:  </w:t>
        <w:tab/>
        <w:t>a.) Gas Daily CIG (N. Syst) Midpoint minus $.03, up to 20,000 mmBtu/d</w:t>
      </w:r>
    </w:p>
    <w:p>
      <w:pPr>
        <w:pStyle w:val="Normal"/>
        <w:rPr>
          <w:sz w:val="22"/>
        </w:rPr>
      </w:pPr>
      <w:r>
        <w:rPr>
          <w:sz w:val="22"/>
        </w:rPr>
        <w:t xml:space="preserve"> </w:t>
      </w:r>
      <w:r>
        <w:rPr>
          <w:sz w:val="22"/>
        </w:rPr>
        <w:tab/>
        <w:tab/>
        <w:tab/>
        <w:t xml:space="preserve">     Combined total between the baseload and first tier swing volumes</w:t>
      </w:r>
    </w:p>
    <w:p>
      <w:pPr>
        <w:pStyle w:val="Normal"/>
        <w:rPr>
          <w:sz w:val="22"/>
        </w:rPr>
      </w:pPr>
      <w:r>
        <w:rPr>
          <w:sz w:val="22"/>
        </w:rPr>
        <w:t xml:space="preserve">         </w:t>
      </w:r>
      <w:r>
        <w:rPr>
          <w:sz w:val="22"/>
        </w:rPr>
        <w:tab/>
        <w:tab/>
        <w:tab/>
        <w:t xml:space="preserve">b.) Gas Daily Cheyenne Hub Mid point, for volumes between 20,001 </w:t>
      </w:r>
    </w:p>
    <w:p>
      <w:pPr>
        <w:pStyle w:val="Normal"/>
        <w:rPr>
          <w:sz w:val="22"/>
          <w:u w:val="single"/>
        </w:rPr>
      </w:pPr>
      <w:r>
        <w:rPr>
          <w:sz w:val="22"/>
        </w:rPr>
        <w:tab/>
        <w:tab/>
        <w:tab/>
        <w:t xml:space="preserve">     MMBtu/d and 44,000 MMBtu/d </w:t>
      </w:r>
    </w:p>
    <w:p>
      <w:pPr>
        <w:pStyle w:val="Normal"/>
        <w:rPr>
          <w:sz w:val="22"/>
          <w:u w:val="single"/>
        </w:rPr>
      </w:pPr>
      <w:r>
        <w:rPr>
          <w:sz w:val="22"/>
          <w:u w:val="single"/>
        </w:rPr>
      </w:r>
    </w:p>
    <w:p>
      <w:pPr>
        <w:pStyle w:val="Normal"/>
        <w:rPr/>
      </w:pPr>
      <w:r>
        <w:rPr>
          <w:sz w:val="22"/>
          <w:u w:val="single"/>
        </w:rPr>
        <w:t>Max Daily Quantity</w:t>
      </w:r>
      <w:r>
        <w:rPr>
          <w:sz w:val="22"/>
        </w:rPr>
        <w:t xml:space="preserve">:  </w:t>
        <w:tab/>
        <w:t>44,000 MMBtu per day</w:t>
      </w:r>
    </w:p>
    <w:p>
      <w:pPr>
        <w:pStyle w:val="Normal"/>
        <w:ind w:hanging="2160" w:start="2160" w:end="0"/>
        <w:rPr>
          <w:sz w:val="22"/>
          <w:u w:val="single"/>
        </w:rPr>
      </w:pPr>
      <w:r>
        <w:rPr>
          <w:sz w:val="22"/>
          <w:u w:val="single"/>
        </w:rPr>
      </w:r>
    </w:p>
    <w:p>
      <w:pPr>
        <w:pStyle w:val="Normal"/>
        <w:ind w:hanging="2160" w:start="2160" w:end="0"/>
        <w:rPr/>
      </w:pPr>
      <w:r>
        <w:rPr>
          <w:sz w:val="22"/>
          <w:u w:val="single"/>
        </w:rPr>
        <w:t>Delivery Points</w:t>
      </w:r>
      <w:r>
        <w:rPr>
          <w:sz w:val="22"/>
        </w:rPr>
        <w:t>:</w:t>
        <w:tab/>
        <w:t>a) First 20,000 MMBtu per day – See capacity release provision below</w:t>
      </w:r>
    </w:p>
    <w:p>
      <w:pPr>
        <w:pStyle w:val="Normal"/>
        <w:ind w:start="2160" w:end="0"/>
        <w:rPr>
          <w:sz w:val="22"/>
        </w:rPr>
      </w:pPr>
      <w:r>
        <w:rPr>
          <w:sz w:val="22"/>
        </w:rPr>
        <w:t>b) Additional 24,000 MMBtu per day – Mutually agreeable PSCo Front Range points</w:t>
      </w:r>
    </w:p>
    <w:p>
      <w:pPr>
        <w:pStyle w:val="Normal"/>
        <w:ind w:hanging="2160" w:start="2160" w:end="0"/>
        <w:rPr>
          <w:sz w:val="22"/>
          <w:u w:val="single"/>
        </w:rPr>
      </w:pPr>
      <w:r>
        <w:rPr>
          <w:sz w:val="22"/>
          <w:u w:val="single"/>
        </w:rPr>
      </w:r>
    </w:p>
    <w:p>
      <w:pPr>
        <w:pStyle w:val="Normal"/>
        <w:ind w:hanging="2160" w:start="2160" w:end="0"/>
        <w:rPr/>
      </w:pPr>
      <w:r>
        <w:rPr>
          <w:sz w:val="22"/>
          <w:u w:val="single"/>
        </w:rPr>
        <w:t>Capacity Release</w:t>
      </w:r>
      <w:r>
        <w:rPr>
          <w:sz w:val="22"/>
        </w:rPr>
        <w:t xml:space="preserve">:  </w:t>
        <w:tab/>
        <w:t>Greeley would release their 20,000 MMBtu per day of CIG/WIC capacity to ENA at the contract rate.  ENA would administer the contract, with Greeley reimbursing ENA for 100% of the demand charges and the volumetric charges associated with deliveries for Greeley Gas.  Furthermore, ENA would act as agent on Greeley’s 44,000 MMBtu per day of PSCo Front Range capacity.</w:t>
      </w:r>
    </w:p>
    <w:p>
      <w:pPr>
        <w:pStyle w:val="Normal"/>
        <w:ind w:hanging="2160" w:start="2160" w:end="0"/>
        <w:rPr>
          <w:sz w:val="22"/>
          <w:u w:val="single"/>
        </w:rPr>
      </w:pPr>
      <w:r>
        <w:rPr>
          <w:sz w:val="22"/>
          <w:u w:val="single"/>
        </w:rPr>
      </w:r>
    </w:p>
    <w:p>
      <w:pPr>
        <w:pStyle w:val="Normal"/>
        <w:ind w:hanging="2160" w:start="2160" w:end="0"/>
        <w:rPr/>
      </w:pPr>
      <w:r>
        <w:rPr>
          <w:sz w:val="22"/>
          <w:u w:val="single"/>
        </w:rPr>
        <w:t>Storage Release</w:t>
      </w:r>
      <w:r>
        <w:rPr>
          <w:sz w:val="22"/>
        </w:rPr>
        <w:t xml:space="preserve">:  </w:t>
        <w:tab/>
        <w:t>ENA would also like to propose that Greeley also release its 740,000 Mcf of Young storage capacity and any associated transportation to ENA at the contract rates.  ENA would fill the storage facilities over the course of the injection season and charge Greeley Inside FERC-CIG, Rocky Mountains Index minus $.0425 per MMBtu for the storage gas, with the sales distributed uniformly across the injection months.  ENA would administer the contract, with Greeley reimbursing ENA for 100% of the demand charges and the volumetric charges associated with injections for Greeley Gas.  Upon completion of the injection season, ENA would return the storage capacity full.</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2001-03-21T19:17:00Z</dcterms:created>
  <dc:creator>Preferred Customer</dc:creator>
  <dc:description/>
  <dc:language>en-CA</dc:language>
  <cp:lastModifiedBy>plucci</cp:lastModifiedBy>
  <cp:lastPrinted>2001-02-28T13:42:00Z</cp:lastPrinted>
  <dcterms:modified xsi:type="dcterms:W3CDTF">2001-03-21T19:17:00Z</dcterms:modified>
  <cp:revision>2</cp:revision>
  <dc:subject/>
  <dc:title>The following bids include rights to trigger a fixed commodity price based on NYMEX for any future month(s) at mutually agreea</dc:title>
</cp:coreProperties>
</file>