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4"/>
        </w:rPr>
      </w:pPr>
      <w:r>
        <w:rPr>
          <w:rFonts w:cs="Times New Roman" w:ascii="Times New Roman" w:hAnsi="Times New Roman"/>
          <w:sz w:val="24"/>
        </w:rPr>
        <w:t>October 16, 2001</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990" w:leader="none"/>
        </w:tabs>
        <w:jc w:val="both"/>
        <w:rPr>
          <w:rFonts w:ascii="Times New Roman" w:hAnsi="Times New Roman" w:cs="Times New Roman"/>
          <w:sz w:val="24"/>
        </w:rPr>
      </w:pPr>
      <w:r>
        <w:rPr>
          <w:rFonts w:cs="Times New Roman" w:ascii="Times New Roman" w:hAnsi="Times New Roman"/>
          <w:sz w:val="24"/>
        </w:rPr>
        <w:t>To:</w:t>
        <w:tab/>
        <w:t>Program and Planning Committee</w:t>
      </w:r>
    </w:p>
    <w:p>
      <w:pPr>
        <w:pStyle w:val="Normal"/>
        <w:tabs>
          <w:tab w:val="clear" w:pos="720"/>
          <w:tab w:val="left" w:pos="990" w:leader="none"/>
        </w:tabs>
        <w:ind w:firstLine="720" w:end="0"/>
        <w:jc w:val="both"/>
        <w:rPr>
          <w:rFonts w:ascii="Times New Roman" w:hAnsi="Times New Roman" w:cs="Times New Roman"/>
          <w:sz w:val="24"/>
        </w:rPr>
      </w:pPr>
      <w:r>
        <w:rPr>
          <w:rFonts w:cs="Times New Roman" w:ascii="Times New Roman" w:hAnsi="Times New Roman"/>
          <w:sz w:val="24"/>
        </w:rPr>
        <w:tab/>
        <w:t>Finance Committee</w:t>
      </w:r>
    </w:p>
    <w:p>
      <w:pPr>
        <w:pStyle w:val="Normal"/>
        <w:tabs>
          <w:tab w:val="clear" w:pos="720"/>
          <w:tab w:val="left" w:pos="990" w:leader="none"/>
        </w:tabs>
        <w:ind w:start="720" w:end="0"/>
        <w:jc w:val="both"/>
        <w:rPr>
          <w:rFonts w:ascii="Times New Roman" w:hAnsi="Times New Roman" w:cs="Times New Roman"/>
          <w:sz w:val="24"/>
        </w:rPr>
      </w:pPr>
      <w:r>
        <w:rPr>
          <w:rFonts w:cs="Times New Roman" w:ascii="Times New Roman" w:hAnsi="Times New Roman"/>
          <w:sz w:val="24"/>
        </w:rPr>
        <w:tab/>
        <w:t>ABA Board of Governors</w:t>
      </w:r>
    </w:p>
    <w:p>
      <w:pPr>
        <w:pStyle w:val="Normal"/>
        <w:tabs>
          <w:tab w:val="clear" w:pos="720"/>
          <w:tab w:val="left" w:pos="99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990" w:leader="none"/>
        </w:tabs>
        <w:jc w:val="both"/>
        <w:rPr>
          <w:rFonts w:ascii="Times New Roman" w:hAnsi="Times New Roman" w:cs="Times New Roman"/>
          <w:sz w:val="24"/>
        </w:rPr>
      </w:pPr>
      <w:r>
        <w:rPr>
          <w:rFonts w:cs="Times New Roman" w:ascii="Times New Roman" w:hAnsi="Times New Roman"/>
          <w:sz w:val="24"/>
        </w:rPr>
        <w:t>From:</w:t>
        <w:tab/>
        <w:t>Sheila S. Hollis, Section Chair</w:t>
      </w:r>
    </w:p>
    <w:p>
      <w:pPr>
        <w:pStyle w:val="Normal"/>
        <w:tabs>
          <w:tab w:val="clear" w:pos="720"/>
          <w:tab w:val="left" w:pos="990" w:leader="none"/>
        </w:tabs>
        <w:ind w:firstLine="720" w:end="0"/>
        <w:jc w:val="both"/>
        <w:rPr>
          <w:rFonts w:ascii="Times New Roman" w:hAnsi="Times New Roman" w:cs="Times New Roman"/>
          <w:sz w:val="24"/>
        </w:rPr>
      </w:pPr>
      <w:r>
        <w:rPr>
          <w:rFonts w:cs="Times New Roman" w:ascii="Times New Roman" w:hAnsi="Times New Roman"/>
          <w:sz w:val="24"/>
        </w:rPr>
        <w:tab/>
        <w:t>ABA Section of Environment, Energy, and Resources</w:t>
      </w:r>
    </w:p>
    <w:p>
      <w:pPr>
        <w:pStyle w:val="Normal"/>
        <w:tabs>
          <w:tab w:val="clear" w:pos="720"/>
          <w:tab w:val="left" w:pos="99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990" w:leader="none"/>
        </w:tabs>
        <w:jc w:val="both"/>
        <w:rPr>
          <w:rFonts w:ascii="Times New Roman" w:hAnsi="Times New Roman" w:cs="Times New Roman"/>
          <w:sz w:val="24"/>
        </w:rPr>
      </w:pPr>
      <w:r>
        <w:rPr>
          <w:rFonts w:cs="Times New Roman" w:ascii="Times New Roman" w:hAnsi="Times New Roman"/>
          <w:sz w:val="24"/>
        </w:rPr>
        <w:t>Re:</w:t>
        <w:tab/>
        <w:t>Program Plan for Section Public Service Project</w:t>
        <w:tab/>
      </w:r>
    </w:p>
    <w:p>
      <w:pPr>
        <w:pStyle w:val="Normal"/>
        <w:pBdr>
          <w:bottom w:val="single" w:sz="6" w:space="1" w:color="000000"/>
        </w:pBdr>
        <w:jc w:val="both"/>
        <w:rPr>
          <w:rFonts w:ascii="Times New Roman" w:hAnsi="Times New Roman" w:cs="Times New Roman"/>
          <w:sz w:val="24"/>
        </w:rPr>
      </w:pPr>
      <w:r>
        <w:rPr>
          <w:rFonts w:cs="Times New Roman" w:ascii="Times New Roman" w:hAnsi="Times New Roman"/>
          <w:sz w:val="24"/>
        </w:rPr>
      </w:r>
    </w:p>
    <w:p>
      <w:pPr>
        <w:pStyle w:val="BodyTextIndent2"/>
        <w:ind w:start="0" w:end="0"/>
        <w:rPr>
          <w:rFonts w:ascii="Times New Roman" w:hAnsi="Times New Roman" w:cs="Times New Roman"/>
          <w:sz w:val="24"/>
        </w:rPr>
      </w:pPr>
      <w:r>
        <w:rPr>
          <w:rFonts w:cs="Times New Roman" w:ascii="Times New Roman" w:hAnsi="Times New Roman"/>
          <w:sz w:val="24"/>
        </w:rPr>
      </w:r>
    </w:p>
    <w:p>
      <w:pPr>
        <w:pStyle w:val="BodyTextIndent2"/>
        <w:ind w:start="0" w:end="0"/>
        <w:rPr>
          <w:rFonts w:ascii="Times New Roman" w:hAnsi="Times New Roman" w:cs="Times New Roman"/>
          <w:sz w:val="24"/>
        </w:rPr>
      </w:pPr>
      <w:r>
        <w:rPr>
          <w:rFonts w:cs="Times New Roman" w:ascii="Times New Roman" w:hAnsi="Times New Roman"/>
          <w:sz w:val="24"/>
        </w:rPr>
      </w:r>
    </w:p>
    <w:p>
      <w:pPr>
        <w:pStyle w:val="BodyTextIndent2"/>
        <w:ind w:start="0" w:end="0"/>
        <w:rPr>
          <w:rFonts w:ascii="Times New Roman" w:hAnsi="Times New Roman" w:cs="Times New Roman"/>
          <w:sz w:val="24"/>
        </w:rPr>
      </w:pPr>
      <w:r>
        <w:rPr>
          <w:rFonts w:cs="Times New Roman" w:ascii="Times New Roman" w:hAnsi="Times New Roman"/>
          <w:sz w:val="24"/>
        </w:rPr>
        <w:t xml:space="preserve">The Section of Environment, Energy, and Resources seeks programmatic approval and approval to seek outside funds to develop a public service project and materials.  This program will be funded solely with outside funds, and will not require ABA General Revenue funding. The Section is willing to commit in-kind services to carry out the program, if it is accepted and funded by the Commission for Environmental Cooperation. </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b/>
          <w:sz w:val="24"/>
          <w:u w:val="single"/>
        </w:rPr>
      </w:pPr>
      <w:r>
        <w:rPr>
          <w:rFonts w:cs="Times New Roman" w:ascii="Times New Roman" w:hAnsi="Times New Roman"/>
          <w:b/>
          <w:sz w:val="24"/>
          <w:u w:val="single"/>
        </w:rPr>
        <w:t>Funding Source</w:t>
      </w:r>
    </w:p>
    <w:p>
      <w:pPr>
        <w:pStyle w:val="BodyText"/>
        <w:rPr>
          <w:rFonts w:ascii="Times New Roman" w:hAnsi="Times New Roman" w:cs="Times New Roman"/>
          <w:sz w:val="24"/>
        </w:rPr>
      </w:pPr>
      <w:r>
        <w:rPr>
          <w:rFonts w:cs="Times New Roman" w:ascii="Times New Roman" w:hAnsi="Times New Roman"/>
          <w:sz w:val="24"/>
        </w:rPr>
        <w:t>The Commission for Environmental Cooperation (CEC) has made a grant available for up to $25,000 to develop a public service project and materials.  The subject matter of the grant application will be determined based upon the CEC’s call for proposals released in late December 2001 or early January 2002.</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3"/>
        <w:ind w:hanging="0" w:end="0"/>
        <w:rPr>
          <w:rFonts w:ascii="Times New Roman" w:hAnsi="Times New Roman" w:cs="Times New Roman"/>
          <w:b/>
          <w:sz w:val="24"/>
          <w:u w:val="single"/>
        </w:rPr>
      </w:pPr>
      <w:r>
        <w:rPr>
          <w:rFonts w:cs="Times New Roman" w:ascii="Times New Roman" w:hAnsi="Times New Roman"/>
          <w:b/>
          <w:sz w:val="24"/>
          <w:u w:val="single"/>
        </w:rPr>
        <w:t>Program Overview</w:t>
      </w:r>
    </w:p>
    <w:p>
      <w:pPr>
        <w:sectPr>
          <w:headerReference w:type="default" r:id="rId2"/>
          <w:headerReference w:type="first" r:id="rId3"/>
          <w:type w:val="nextPage"/>
          <w:pgSz w:w="12240" w:h="15840"/>
          <w:pgMar w:left="3168" w:right="1440" w:gutter="0" w:header="720" w:top="2880" w:footer="0" w:bottom="720"/>
          <w:pgNumType w:fmt="decimal"/>
          <w:formProt w:val="false"/>
          <w:titlePg/>
          <w:textDirection w:val="lrTb"/>
          <w:docGrid w:type="default" w:linePitch="360" w:charSpace="0"/>
        </w:sectPr>
        <w:pStyle w:val="BodyTextIndent3"/>
        <w:ind w:hanging="0" w:end="0"/>
        <w:rPr>
          <w:rFonts w:ascii="Times New Roman" w:hAnsi="Times New Roman" w:cs="Times New Roman"/>
          <w:sz w:val="24"/>
        </w:rPr>
      </w:pPr>
      <w:r>
        <w:rPr>
          <w:rFonts w:cs="Times New Roman" w:ascii="Times New Roman" w:hAnsi="Times New Roman"/>
          <w:sz w:val="24"/>
        </w:rPr>
        <w:t>The Commission for Environmental Cooperation (CEC) is an international organization created by Canada, Mexico and the United States under the North American Agreement on Environmental Cooperation (NAAEC). The CEC was established to address regional environmental concerns, help prevent potential trade and environmental conflicts, and to promote the effective enforcement of environmental law. The Agreement complements the environmental provisions of the North American Free Trade Agreement (NAFTA). The CEC created the North American Fund for Environmental Cooperation (NAFEC) in 1995 as a means to fund community-based projects in Canada, Mexico and the United States that promote the goals and objectives of the CEC.</w:t>
      </w:r>
    </w:p>
    <w:p>
      <w:pPr>
        <w:pStyle w:val="Normal"/>
        <w:jc w:val="both"/>
        <w:rPr>
          <w:rFonts w:ascii="Times New Roman" w:hAnsi="Times New Roman" w:cs="Times New Roman"/>
          <w:sz w:val="24"/>
        </w:rPr>
      </w:pPr>
      <w:r>
        <w:rPr>
          <w:rFonts w:cs="Times New Roman" w:ascii="Times New Roman" w:hAnsi="Times New Roman"/>
          <w:sz w:val="24"/>
        </w:rPr>
        <w:t>NAFEC supports projects that:</w:t>
      </w:r>
    </w:p>
    <w:p>
      <w:pPr>
        <w:pStyle w:val="Normal"/>
        <w:numPr>
          <w:ilvl w:val="0"/>
          <w:numId w:val="3"/>
        </w:numPr>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sz w:val="24"/>
        </w:rPr>
        <w:t xml:space="preserve">are community-based (involve a clearly defined community of stakeholders who actively participate in the design and implementation of the project); </w:t>
      </w:r>
    </w:p>
    <w:p>
      <w:pPr>
        <w:pStyle w:val="Normal"/>
        <w:numPr>
          <w:ilvl w:val="0"/>
          <w:numId w:val="6"/>
        </w:numPr>
        <w:ind w:hanging="360" w:start="1080" w:end="0"/>
        <w:jc w:val="both"/>
        <w:rPr>
          <w:rFonts w:ascii="Times New Roman" w:hAnsi="Times New Roman" w:cs="Times New Roman"/>
          <w:sz w:val="24"/>
        </w:rPr>
      </w:pPr>
      <w:r>
        <w:rPr>
          <w:rFonts w:cs="Times New Roman" w:ascii="Times New Roman" w:hAnsi="Times New Roman"/>
          <w:sz w:val="24"/>
        </w:rPr>
        <w:t xml:space="preserve">respond to a specific issue or problem and lead to concrete results; </w:t>
      </w:r>
    </w:p>
    <w:p>
      <w:pPr>
        <w:pStyle w:val="Normal"/>
        <w:numPr>
          <w:ilvl w:val="0"/>
          <w:numId w:val="6"/>
        </w:numPr>
        <w:ind w:hanging="360" w:start="1080" w:end="0"/>
        <w:jc w:val="both"/>
        <w:rPr>
          <w:rFonts w:ascii="Times New Roman" w:hAnsi="Times New Roman" w:cs="Times New Roman"/>
          <w:sz w:val="24"/>
        </w:rPr>
      </w:pPr>
      <w:r>
        <w:rPr>
          <w:rFonts w:cs="Times New Roman" w:ascii="Times New Roman" w:hAnsi="Times New Roman"/>
          <w:sz w:val="24"/>
        </w:rPr>
        <w:t>reflect</w:t>
      </w:r>
      <w:r>
        <w:rPr>
          <w:rFonts w:cs="Times New Roman" w:ascii="Times New Roman" w:hAnsi="Times New Roman"/>
          <w:b/>
          <w:sz w:val="24"/>
        </w:rPr>
        <w:t xml:space="preserve"> </w:t>
      </w:r>
      <w:r>
        <w:rPr>
          <w:rFonts w:cs="Times New Roman" w:ascii="Times New Roman" w:hAnsi="Times New Roman"/>
          <w:sz w:val="24"/>
        </w:rPr>
        <w:t xml:space="preserve">cooperative and equitable partnerships between or among organizations from different sectors and/or countries within North America; </w:t>
      </w:r>
    </w:p>
    <w:p>
      <w:pPr>
        <w:pStyle w:val="Normal"/>
        <w:numPr>
          <w:ilvl w:val="0"/>
          <w:numId w:val="6"/>
        </w:numPr>
        <w:ind w:hanging="360" w:start="1080" w:end="0"/>
        <w:jc w:val="both"/>
        <w:rPr>
          <w:rFonts w:ascii="Times New Roman" w:hAnsi="Times New Roman" w:cs="Times New Roman"/>
          <w:sz w:val="24"/>
        </w:rPr>
      </w:pPr>
      <w:r>
        <w:rPr>
          <w:rFonts w:cs="Times New Roman" w:ascii="Times New Roman" w:hAnsi="Times New Roman"/>
          <w:sz w:val="24"/>
        </w:rPr>
        <w:t xml:space="preserve">meet the objectives of the CEC (by complementing the current CEC program); </w:t>
      </w:r>
    </w:p>
    <w:p>
      <w:pPr>
        <w:pStyle w:val="Normal"/>
        <w:numPr>
          <w:ilvl w:val="0"/>
          <w:numId w:val="6"/>
        </w:numPr>
        <w:ind w:hanging="360" w:start="1080" w:end="0"/>
        <w:jc w:val="both"/>
        <w:rPr>
          <w:rFonts w:ascii="Times New Roman" w:hAnsi="Times New Roman" w:cs="Times New Roman"/>
          <w:sz w:val="24"/>
        </w:rPr>
      </w:pPr>
      <w:r>
        <w:rPr>
          <w:rFonts w:cs="Times New Roman" w:ascii="Times New Roman" w:hAnsi="Times New Roman"/>
          <w:sz w:val="24"/>
        </w:rPr>
        <w:t xml:space="preserve">strengthen and build the capacities of local people, organizations and institutions; </w:t>
      </w:r>
    </w:p>
    <w:p>
      <w:pPr>
        <w:pStyle w:val="Normal"/>
        <w:numPr>
          <w:ilvl w:val="0"/>
          <w:numId w:val="6"/>
        </w:numPr>
        <w:ind w:hanging="360" w:start="1080" w:end="0"/>
        <w:jc w:val="both"/>
        <w:rPr>
          <w:rFonts w:ascii="Times New Roman" w:hAnsi="Times New Roman" w:cs="Times New Roman"/>
          <w:sz w:val="24"/>
        </w:rPr>
      </w:pPr>
      <w:r>
        <w:rPr>
          <w:rFonts w:cs="Times New Roman" w:ascii="Times New Roman" w:hAnsi="Times New Roman"/>
          <w:sz w:val="24"/>
        </w:rPr>
        <w:t xml:space="preserve">emphasize sustainability; link environmental, social and economic issues; and </w:t>
      </w:r>
    </w:p>
    <w:p>
      <w:pPr>
        <w:pStyle w:val="Normal"/>
        <w:numPr>
          <w:ilvl w:val="0"/>
          <w:numId w:val="6"/>
        </w:numPr>
        <w:ind w:hanging="360" w:start="1080" w:end="0"/>
        <w:jc w:val="both"/>
        <w:rPr>
          <w:rFonts w:ascii="Times New Roman" w:hAnsi="Times New Roman" w:cs="Times New Roman"/>
          <w:sz w:val="24"/>
        </w:rPr>
      </w:pPr>
      <w:r>
        <w:rPr>
          <w:rFonts w:cs="Times New Roman" w:ascii="Times New Roman" w:hAnsi="Times New Roman"/>
          <w:sz w:val="24"/>
        </w:rPr>
        <w:t>leverage additional support, but are unlikely to obtain full funding from other sources.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lang w:eastAsia="en-US"/>
        </w:rPr>
      </w:pPr>
      <w:r>
        <w:rPr>
          <w:rFonts w:cs="Times New Roman" w:ascii="Times New Roman" w:hAnsi="Times New Roman"/>
          <w:sz w:val="24"/>
          <w:lang w:eastAsia="en-US"/>
        </w:rPr>
        <w:t>An example of a possible Section project would be to develop educational instruction in school materials such as the Section's Marine Resources Committee materials attached.  Although, these materials were not developed with CEC grant funding in mind, it would be very easy to adapt the materials to focus on the CEC goals of building capacity in communities, while still meeting the Section and ABA's goals.</w:t>
      </w:r>
    </w:p>
    <w:p>
      <w:pPr>
        <w:pStyle w:val="Normal"/>
        <w:jc w:val="both"/>
        <w:rPr>
          <w:rFonts w:ascii="Times New Roman" w:hAnsi="Times New Roman" w:cs="Times New Roman"/>
          <w:sz w:val="24"/>
          <w:lang w:eastAsia="en-US"/>
        </w:rPr>
      </w:pPr>
      <w:r>
        <w:rPr>
          <w:rFonts w:cs="Times New Roman" w:ascii="Times New Roman" w:hAnsi="Times New Roman"/>
          <w:sz w:val="24"/>
          <w:lang w:eastAsia="en-US"/>
        </w:rPr>
      </w:r>
    </w:p>
    <w:p>
      <w:pPr>
        <w:pStyle w:val="Normal"/>
        <w:jc w:val="both"/>
        <w:rPr>
          <w:rFonts w:ascii="Times New Roman" w:hAnsi="Times New Roman" w:cs="Times New Roman"/>
          <w:sz w:val="24"/>
          <w:lang w:eastAsia="en-US"/>
        </w:rPr>
      </w:pPr>
      <w:r>
        <w:rPr>
          <w:rFonts w:cs="Times New Roman" w:ascii="Times New Roman" w:hAnsi="Times New Roman"/>
          <w:sz w:val="24"/>
          <w:lang w:eastAsia="en-US"/>
        </w:rPr>
        <w:t>CEC grant money, if awarded to the Section, could be used for development, publishing, video streaming, and/or for distribution of these particular materials in the Gulf Coast area, with the possibility of adaptation of the materials to address issues in Mexico and Canada.  This type of project is very similar to projects that have recently obtained CEC grant funding.</w:t>
      </w:r>
    </w:p>
    <w:p>
      <w:pPr>
        <w:pStyle w:val="Normal"/>
        <w:jc w:val="both"/>
        <w:rPr>
          <w:rFonts w:ascii="Times New Roman" w:hAnsi="Times New Roman" w:cs="Times New Roman"/>
          <w:sz w:val="24"/>
          <w:lang w:eastAsia="en-US"/>
        </w:rPr>
      </w:pPr>
      <w:r>
        <w:rPr>
          <w:rFonts w:cs="Times New Roman" w:ascii="Times New Roman" w:hAnsi="Times New Roman"/>
          <w:sz w:val="24"/>
          <w:lang w:eastAsia="en-US"/>
        </w:rPr>
      </w:r>
    </w:p>
    <w:p>
      <w:pPr>
        <w:pStyle w:val="Normal"/>
        <w:jc w:val="both"/>
        <w:rPr>
          <w:rFonts w:ascii="Times New Roman" w:hAnsi="Times New Roman" w:cs="Times New Roman"/>
          <w:sz w:val="24"/>
        </w:rPr>
      </w:pPr>
      <w:r>
        <w:rPr>
          <w:rFonts w:cs="Times New Roman" w:ascii="Times New Roman" w:hAnsi="Times New Roman"/>
          <w:sz w:val="24"/>
        </w:rPr>
        <w:t>The proposed program will meet the following ABA and Section of Environment, Energy, and Resources goals: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1080" w:leader="none"/>
          <w:tab w:val="left" w:pos="1800" w:leader="none"/>
        </w:tabs>
        <w:ind w:hanging="360" w:start="1080" w:end="0"/>
        <w:jc w:val="both"/>
        <w:rPr>
          <w:rFonts w:ascii="Times New Roman" w:hAnsi="Times New Roman" w:cs="Times New Roman"/>
          <w:sz w:val="24"/>
        </w:rPr>
      </w:pPr>
      <w:r>
        <w:rPr>
          <w:rFonts w:cs="Times New Roman" w:ascii="Times New Roman" w:hAnsi="Times New Roman"/>
          <w:sz w:val="24"/>
        </w:rPr>
        <w:t>ABA Goal IV: To increase public understanding of and respect for the law, the legal process, and the role of the legal profession;</w:t>
      </w:r>
    </w:p>
    <w:p>
      <w:pPr>
        <w:pStyle w:val="Normal"/>
        <w:numPr>
          <w:ilvl w:val="0"/>
          <w:numId w:val="5"/>
        </w:numPr>
        <w:tabs>
          <w:tab w:val="clear" w:pos="720"/>
          <w:tab w:val="left" w:pos="1080" w:leader="none"/>
          <w:tab w:val="left" w:pos="1800" w:leader="none"/>
        </w:tabs>
        <w:ind w:hanging="360" w:start="1080" w:end="0"/>
        <w:jc w:val="both"/>
        <w:rPr>
          <w:rFonts w:ascii="Times New Roman" w:hAnsi="Times New Roman" w:cs="Times New Roman"/>
          <w:sz w:val="24"/>
        </w:rPr>
      </w:pPr>
      <w:r>
        <w:rPr>
          <w:rFonts w:cs="Times New Roman" w:ascii="Times New Roman" w:hAnsi="Times New Roman"/>
          <w:sz w:val="24"/>
        </w:rPr>
        <w:t>ABA Goal IX: To promote full and equal participation in the legal profession by minorities, women and persons with disabilities.</w:t>
      </w:r>
    </w:p>
    <w:p>
      <w:pPr>
        <w:pStyle w:val="Normal"/>
        <w:numPr>
          <w:ilvl w:val="0"/>
          <w:numId w:val="4"/>
        </w:numPr>
        <w:tabs>
          <w:tab w:val="clear" w:pos="720"/>
          <w:tab w:val="left" w:pos="1080" w:leader="none"/>
          <w:tab w:val="left" w:pos="1800" w:leader="none"/>
        </w:tabs>
        <w:ind w:hanging="360" w:start="1080" w:end="0"/>
        <w:jc w:val="both"/>
        <w:rPr>
          <w:rFonts w:ascii="Times New Roman" w:hAnsi="Times New Roman" w:cs="Times New Roman"/>
          <w:sz w:val="24"/>
        </w:rPr>
      </w:pPr>
      <w:r>
        <w:rPr>
          <w:rFonts w:cs="Times New Roman" w:ascii="Times New Roman" w:hAnsi="Times New Roman"/>
          <w:sz w:val="24"/>
        </w:rPr>
        <w:t>ABA Goal X: To preserve and enhance the ideals of the legal profession as a common calling and its dedication to public service.</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
        <w:ind w:hanging="0" w:start="0" w:end="0"/>
        <w:rPr>
          <w:rFonts w:ascii="Times New Roman" w:hAnsi="Times New Roman" w:cs="Times New Roman"/>
          <w:sz w:val="24"/>
        </w:rPr>
      </w:pPr>
      <w:r>
        <w:rPr>
          <w:rFonts w:cs="Times New Roman" w:ascii="Times New Roman" w:hAnsi="Times New Roman"/>
          <w:sz w:val="24"/>
        </w:rPr>
        <w:t xml:space="preserve">The Section of Environment, Energy, and Resources will develop and implement the proposed project. The NAFEC staff and Selection Committee review proposals. The Selection Committee, which consists of two representatives from each country, makes the final decision to approve or decline a proposal. The CEC will provide the funding for development and implementation of the project if approved. </w:t>
      </w:r>
    </w:p>
    <w:p>
      <w:pPr>
        <w:pStyle w:val="Normal"/>
        <w:tabs>
          <w:tab w:val="clear" w:pos="720"/>
          <w:tab w:val="center" w:pos="0" w:leader="none"/>
        </w:tabs>
        <w:jc w:val="both"/>
        <w:rPr>
          <w:rFonts w:ascii="Times New Roman" w:hAnsi="Times New Roman" w:cs="Times New Roman"/>
          <w:i/>
          <w:i/>
          <w:sz w:val="24"/>
        </w:rPr>
      </w:pPr>
      <w:r>
        <w:rPr>
          <w:rFonts w:cs="Times New Roman" w:ascii="Times New Roman" w:hAnsi="Times New Roman"/>
          <w:i/>
          <w:sz w:val="24"/>
        </w:rPr>
      </w:r>
    </w:p>
    <w:p>
      <w:pPr>
        <w:pStyle w:val="BodyText3"/>
        <w:rPr/>
      </w:pPr>
      <w:r>
        <w:rPr/>
        <w:t>If the grant is awarded the program will be developed and staffed by Section volunteer members as coordinated by the Section’s Public Service Task Force with assistance from Section staff.</w:t>
      </w:r>
    </w:p>
    <w:p>
      <w:pPr>
        <w:pStyle w:val="Normal"/>
        <w:tabs>
          <w:tab w:val="clear" w:pos="720"/>
          <w:tab w:val="center" w:pos="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center" w:pos="0" w:leader="none"/>
        </w:tabs>
        <w:jc w:val="both"/>
        <w:rPr>
          <w:rFonts w:ascii="Times New Roman" w:hAnsi="Times New Roman" w:cs="Times New Roman"/>
          <w:sz w:val="24"/>
        </w:rPr>
      </w:pPr>
      <w:r>
        <w:rPr>
          <w:rFonts w:cs="Times New Roman" w:ascii="Times New Roman" w:hAnsi="Times New Roman"/>
          <w:sz w:val="24"/>
        </w:rPr>
        <w:t>Thank you for your consideration.</w:t>
      </w:r>
    </w:p>
    <w:p>
      <w:pPr>
        <w:pStyle w:val="Normal"/>
        <w:tabs>
          <w:tab w:val="clear" w:pos="720"/>
          <w:tab w:val="center" w:pos="0" w:leader="none"/>
        </w:tabs>
        <w:jc w:val="both"/>
        <w:rPr>
          <w:rFonts w:ascii="Times New Roman" w:hAnsi="Times New Roman" w:cs="Times New Roman"/>
          <w:i/>
          <w:i/>
          <w:sz w:val="24"/>
        </w:rPr>
      </w:pPr>
      <w:r>
        <w:rPr>
          <w:rFonts w:cs="Times New Roman" w:ascii="Times New Roman" w:hAnsi="Times New Roman"/>
          <w:i/>
          <w:sz w:val="24"/>
        </w:rPr>
      </w:r>
    </w:p>
    <w:p>
      <w:pPr>
        <w:pStyle w:val="Heading1"/>
        <w:ind w:hanging="0" w:start="0"/>
        <w:rPr/>
      </w:pPr>
      <w:r>
        <w:rPr/>
        <w:t>DBB/dj</w:t>
      </w:r>
    </w:p>
    <w:p>
      <w:pPr>
        <w:pStyle w:val="Heading1"/>
        <w:ind w:hanging="0" w:start="0"/>
        <w:rPr/>
      </w:pPr>
      <w:r>
        <w:rPr/>
        <w:t>attachment</w:t>
      </w:r>
    </w:p>
    <w:p>
      <w:pPr>
        <w:pStyle w:val="Normal"/>
        <w:tabs>
          <w:tab w:val="clear" w:pos="720"/>
          <w:tab w:val="center" w:pos="0" w:leader="none"/>
        </w:tabs>
        <w:jc w:val="both"/>
        <w:rPr>
          <w:rFonts w:ascii="Times New Roman" w:hAnsi="Times New Roman" w:cs="Times New Roman"/>
          <w:i/>
          <w:i/>
          <w:sz w:val="24"/>
        </w:rPr>
      </w:pPr>
      <w:r>
        <w:rPr>
          <w:rFonts w:cs="Times New Roman" w:ascii="Times New Roman" w:hAnsi="Times New Roman"/>
          <w:i/>
          <w:sz w:val="24"/>
        </w:rPr>
      </w:r>
    </w:p>
    <w:p>
      <w:pPr>
        <w:sectPr>
          <w:headerReference w:type="default" r:id="rId4"/>
          <w:headerReference w:type="first" r:id="rId5"/>
          <w:type w:val="nextPage"/>
          <w:pgSz w:w="12240" w:h="15840"/>
          <w:pgMar w:left="2160" w:right="1800" w:gutter="0" w:header="720" w:top="1800" w:footer="0" w:bottom="1440"/>
          <w:pgNumType w:fmt="decimal"/>
          <w:formProt w:val="false"/>
          <w:textDirection w:val="lrTb"/>
          <w:docGrid w:type="default" w:linePitch="360" w:charSpace="0"/>
        </w:sectPr>
      </w:pPr>
    </w:p>
    <w:p>
      <w:pPr>
        <w:pStyle w:val="Normal"/>
        <w:tabs>
          <w:tab w:val="clear" w:pos="720"/>
          <w:tab w:val="left" w:pos="360" w:leader="none"/>
        </w:tabs>
        <w:rPr>
          <w:rFonts w:ascii="Times New Roman" w:hAnsi="Times New Roman" w:cs="Times New Roman"/>
        </w:rPr>
      </w:pPr>
      <w:r>
        <w:rPr>
          <w:rFonts w:cs="Times New Roman" w:ascii="Times New Roman" w:hAnsi="Times New Roman"/>
        </w:rPr>
        <w:t>cc:</w:t>
        <w:tab/>
        <w:t>Section Council</w:t>
      </w:r>
    </w:p>
    <w:p>
      <w:pPr>
        <w:pStyle w:val="Normal"/>
        <w:tabs>
          <w:tab w:val="clear" w:pos="720"/>
          <w:tab w:val="left" w:pos="360" w:leader="none"/>
        </w:tabs>
        <w:rPr>
          <w:rFonts w:ascii="Times New Roman" w:hAnsi="Times New Roman" w:cs="Times New Roman"/>
        </w:rPr>
      </w:pPr>
      <w:r>
        <w:rPr>
          <w:rFonts w:cs="Times New Roman" w:ascii="Times New Roman" w:hAnsi="Times New Roman"/>
        </w:rPr>
        <w:tab/>
        <w:t>Saul A. Wolfe, Board Liaison</w:t>
      </w:r>
    </w:p>
    <w:p>
      <w:pPr>
        <w:pStyle w:val="Normal"/>
        <w:tabs>
          <w:tab w:val="clear" w:pos="720"/>
          <w:tab w:val="left" w:pos="360" w:leader="none"/>
        </w:tabs>
        <w:rPr>
          <w:rFonts w:ascii="Times New Roman" w:hAnsi="Times New Roman" w:cs="Times New Roman"/>
        </w:rPr>
      </w:pPr>
      <w:r>
        <w:rPr>
          <w:rFonts w:cs="Times New Roman" w:ascii="Times New Roman" w:hAnsi="Times New Roman"/>
        </w:rPr>
        <w:tab/>
        <w:t>Dana B. Brown, Chair, Public Service Task Force</w:t>
      </w:r>
    </w:p>
    <w:p>
      <w:pPr>
        <w:pStyle w:val="Normal"/>
        <w:tabs>
          <w:tab w:val="clear" w:pos="720"/>
          <w:tab w:val="left" w:pos="360" w:leader="none"/>
        </w:tabs>
        <w:rPr>
          <w:rFonts w:ascii="Times New Roman" w:hAnsi="Times New Roman" w:cs="Times New Roman"/>
        </w:rPr>
      </w:pPr>
      <w:r>
        <w:rPr>
          <w:rFonts w:cs="Times New Roman" w:ascii="Times New Roman" w:hAnsi="Times New Roman"/>
        </w:rPr>
        <w:tab/>
        <w:t>Terry L. Kramer</w:t>
      </w:r>
    </w:p>
    <w:p>
      <w:pPr>
        <w:pStyle w:val="Normal"/>
        <w:tabs>
          <w:tab w:val="clear" w:pos="720"/>
          <w:tab w:val="left" w:pos="360" w:leader="none"/>
        </w:tabs>
        <w:rPr>
          <w:rFonts w:ascii="Times New Roman" w:hAnsi="Times New Roman" w:cs="Times New Roman"/>
        </w:rPr>
      </w:pPr>
      <w:r>
        <w:rPr>
          <w:rFonts w:cs="Times New Roman" w:ascii="Times New Roman" w:hAnsi="Times New Roman"/>
        </w:rPr>
        <w:tab/>
        <w:t>Candy L. Simons</w:t>
      </w:r>
    </w:p>
    <w:p>
      <w:pPr>
        <w:pStyle w:val="Normal"/>
        <w:tabs>
          <w:tab w:val="clear" w:pos="720"/>
          <w:tab w:val="left" w:pos="360" w:leader="none"/>
        </w:tabs>
        <w:rPr>
          <w:rFonts w:ascii="Times New Roman" w:hAnsi="Times New Roman" w:cs="Times New Roman"/>
        </w:rPr>
      </w:pPr>
      <w:r>
        <w:rPr>
          <w:rFonts w:cs="Times New Roman" w:ascii="Times New Roman" w:hAnsi="Times New Roman"/>
        </w:rPr>
        <w:tab/>
        <w:t>H. Maria Enright</w:t>
      </w:r>
    </w:p>
    <w:p>
      <w:pPr>
        <w:pStyle w:val="Normal"/>
        <w:tabs>
          <w:tab w:val="clear" w:pos="720"/>
          <w:tab w:val="left" w:pos="360" w:leader="none"/>
        </w:tabs>
        <w:rPr/>
      </w:pPr>
      <w:r>
        <w:rPr/>
        <w:tab/>
        <w:t>Dana Jonusaitis</w:t>
      </w:r>
    </w:p>
    <w:p>
      <w:pPr>
        <w:sectPr>
          <w:type w:val="continuous"/>
          <w:pgSz w:w="12240" w:h="15840"/>
          <w:pgMar w:left="1800" w:right="1800" w:gutter="0" w:header="720" w:top="1800" w:footer="0" w:bottom="1440"/>
          <w:formProt w:val="false"/>
          <w:textDirection w:val="lrTb"/>
          <w:docGrid w:type="default" w:linePitch="360" w:charSpace="0"/>
        </w:sectPr>
      </w:pPr>
    </w:p>
    <w:p>
      <w:pPr>
        <w:pStyle w:val="Normal"/>
        <w:ind w:firstLine="720" w:end="0"/>
        <w:jc w:val="both"/>
        <w:rPr>
          <w:rFonts w:ascii="Times New Roman" w:hAnsi="Times New Roman" w:cs="Times New Roman"/>
          <w:i/>
          <w:i/>
          <w:sz w:val="24"/>
        </w:rPr>
      </w:pPr>
      <w:r>
        <w:rPr>
          <w:rFonts w:cs="Times New Roman" w:ascii="Times New Roman" w:hAnsi="Times New Roman"/>
          <w:i/>
          <w:sz w:val="24"/>
        </w:rPr>
      </w:r>
    </w:p>
    <w:sectPr>
      <w:type w:val="continuous"/>
      <w:pgSz w:w="12240" w:h="15840"/>
      <w:pgMar w:left="1800" w:right="1800" w:gutter="0" w:header="720" w:top="180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t>October 16,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t>October 16,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2"/>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0" w:leader="none"/>
      </w:tabs>
      <w:jc w:val="both"/>
      <w:outlineLvl w:val="0"/>
    </w:pPr>
    <w:rPr>
      <w:rFonts w:ascii="Times New Roman" w:hAnsi="Times New Roman" w:cs="Times New Roman"/>
      <w:i/>
      <w:sz w:val="20"/>
    </w:rPr>
  </w:style>
  <w:style w:type="character" w:styleId="WW8Num3z0">
    <w:name w:val="WW8Num3z0"/>
    <w:qFormat/>
    <w:rPr>
      <w:rFonts w:ascii="Symbol" w:hAnsi="Symbol" w:cs="Symbol"/>
    </w:rPr>
  </w:style>
  <w:style w:type="character" w:styleId="WW8Num4z0">
    <w:name w:val="WW8Num4z0"/>
    <w:qFormat/>
    <w:rPr>
      <w:i w:val="fals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720" w:start="720" w:end="0"/>
      <w:jc w:val="both"/>
    </w:pPr>
    <w:rPr/>
  </w:style>
  <w:style w:type="paragraph" w:styleId="H2">
    <w:name w:val="H2"/>
    <w:basedOn w:val="Normal"/>
    <w:next w:val="Normal"/>
    <w:qFormat/>
    <w:pPr>
      <w:keepNext w:val="true"/>
      <w:spacing w:before="100" w:after="100"/>
      <w:outlineLvl w:val="2"/>
    </w:pPr>
    <w:rPr>
      <w:rFonts w:ascii="Times New Roman" w:hAnsi="Times New Roman" w:cs="Times New Roman"/>
      <w:b/>
      <w:sz w:val="36"/>
      <w:lang w:eastAsia="en-US"/>
    </w:rPr>
  </w:style>
  <w:style w:type="paragraph" w:styleId="BodyTextIndent">
    <w:name w:val="Body Text Indent"/>
    <w:basedOn w:val="Normal"/>
    <w:pPr>
      <w:ind w:firstLine="720" w:start="720" w:end="0"/>
      <w:jc w:val="both"/>
    </w:pPr>
    <w:rPr>
      <w:rFonts w:ascii="Courier New" w:hAnsi="Courier New" w:cs="Courier New"/>
    </w:rPr>
  </w:style>
  <w:style w:type="paragraph" w:styleId="BodyTextIndent2">
    <w:name w:val="Body Text Indent 2"/>
    <w:basedOn w:val="Normal"/>
    <w:qFormat/>
    <w:pPr>
      <w:tabs>
        <w:tab w:val="clear" w:pos="720"/>
        <w:tab w:val="center" w:pos="0" w:leader="none"/>
      </w:tabs>
      <w:ind w:hanging="0" w:start="1440" w:end="0"/>
      <w:jc w:val="both"/>
    </w:pPr>
    <w:rPr>
      <w:rFonts w:ascii="Courier New" w:hAnsi="Courier New" w:cs="Courier New"/>
    </w:rPr>
  </w:style>
  <w:style w:type="paragraph" w:styleId="BodyTextIndent3">
    <w:name w:val="Body Text Indent 3"/>
    <w:basedOn w:val="Normal"/>
    <w:qFormat/>
    <w:pPr>
      <w:ind w:firstLine="720" w:start="0" w:end="0"/>
      <w:jc w:val="both"/>
    </w:pPr>
    <w:rPr/>
  </w:style>
  <w:style w:type="paragraph" w:styleId="BodyText3">
    <w:name w:val="Body Text 3"/>
    <w:basedOn w:val="Normal"/>
    <w:qFormat/>
    <w:pPr>
      <w:tabs>
        <w:tab w:val="clear" w:pos="720"/>
        <w:tab w:val="center" w:pos="0" w:leader="none"/>
      </w:tabs>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2001-10-19T11:27:00Z</dcterms:created>
  <dc:creator>ConnollA</dc:creator>
  <dc:description/>
  <dc:language>en-CA</dc:language>
  <cp:lastModifiedBy>Dana Jonusaitis</cp:lastModifiedBy>
  <cp:lastPrinted>2001-10-19T09:34:00Z</cp:lastPrinted>
  <dcterms:modified xsi:type="dcterms:W3CDTF">2001-10-19T12:12:00Z</dcterms:modified>
  <cp:revision>3</cp:revision>
  <dc:subject/>
  <dc:title>AMERICAN BAR ASSOCIATION</dc:title>
</cp:coreProperties>
</file>