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w:t>
        <w:br/>
      </w:r>
    </w:p>
    <w:p>
      <w:pPr>
        <w:pStyle w:val="z-TopofForm"/>
        <w:spacing w:before="100" w:after="100"/>
        <w:rPr/>
      </w:pPr>
      <w:r>
        <w:rPr/>
        <w:t>Top of Form 1</w:t>
      </w:r>
    </w:p>
    <w:p>
      <w:pPr>
        <w:pStyle w:val="Normal"/>
        <w:rPr/>
      </w:pPr>
      <w:r>
        <w:rPr/>
        <w:drawing>
          <wp:inline distT="0" distB="0" distL="0" distR="0">
            <wp:extent cx="914400" cy="2286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14400" cy="228600"/>
                    </a:xfrm>
                    <a:prstGeom prst="rect">
                      <a:avLst/>
                    </a:prstGeom>
                    <a:noFill/>
                  </pic:spPr>
                </pic:pic>
              </a:graphicData>
            </a:graphic>
          </wp:inline>
        </w:drawing>
      </w:r>
      <w:r>
        <w:rPr/>
        <w:drawing>
          <wp:inline distT="0" distB="0" distL="0" distR="0">
            <wp:extent cx="914400" cy="22860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tretch>
                      <a:fillRect/>
                    </a:stretch>
                  </pic:blipFill>
                  <pic:spPr bwMode="auto">
                    <a:xfrm>
                      <a:off x="0" y="0"/>
                      <a:ext cx="914400" cy="228600"/>
                    </a:xfrm>
                    <a:prstGeom prst="rect">
                      <a:avLst/>
                    </a:prstGeom>
                    <a:noFill/>
                  </pic:spPr>
                </pic:pic>
              </a:graphicData>
            </a:graphic>
          </wp:inline>
        </w:drawing>
      </w:r>
    </w:p>
    <w:tbl>
      <w:tblPr>
        <w:tblW w:w="6765" w:type="dxa"/>
        <w:jc w:val="start"/>
        <w:tblInd w:w="0" w:type="dxa"/>
        <w:tblLayout w:type="fixed"/>
        <w:tblCellMar>
          <w:top w:w="0" w:type="dxa"/>
          <w:start w:w="0" w:type="dxa"/>
          <w:bottom w:w="0" w:type="dxa"/>
          <w:end w:w="0" w:type="dxa"/>
        </w:tblCellMar>
      </w:tblPr>
      <w:tblGrid>
        <w:gridCol w:w="135"/>
        <w:gridCol w:w="135"/>
        <w:gridCol w:w="6495"/>
      </w:tblGrid>
      <w:tr>
        <w:trPr/>
        <w:tc>
          <w:tcPr>
            <w:tcW w:w="135" w:type="dxa"/>
            <w:tcBorders/>
          </w:tcPr>
          <w:p>
            <w:pPr>
              <w:pStyle w:val="Normal"/>
              <w:rPr>
                <w:rFonts w:ascii="Arial; Helvetica" w:hAnsi="Arial; Helvetica" w:eastAsia="Arial; Helvetica" w:cs="Arial; Helvetica"/>
              </w:rPr>
            </w:pPr>
            <w:r>
              <w:rPr>
                <w:rFonts w:eastAsia="Arial; Helvetica" w:cs="Arial; Helvetica" w:ascii="Arial; Helvetica" w:hAnsi="Arial; Helvetica"/>
              </w:rPr>
              <w:t xml:space="preserve">1. </w:t>
            </w:r>
          </w:p>
        </w:tc>
        <w:tc>
          <w:tcPr>
            <w:tcW w:w="135" w:type="dxa"/>
            <w:tcBorders/>
          </w:tcPr>
          <w:p>
            <w:pPr>
              <w:pStyle w:val="Normal"/>
              <w:rPr/>
            </w:pPr>
            <w:r>
              <w:rPr/>
              <w:t>"</w:t>
            </w:r>
          </w:p>
        </w:tc>
        <w:tc>
          <w:tcPr>
            <w:tcW w:w="6495" w:type="dxa"/>
            <w:tcBorders/>
          </w:tcPr>
          <w:p>
            <w:pPr>
              <w:pStyle w:val="Normal"/>
              <w:rPr/>
            </w:pPr>
            <w:r>
              <w:rPr>
                <w:rStyle w:val="Hyperlink"/>
                <w:rFonts w:eastAsia="Arial; Helvetica" w:cs="Arial; Helvetica" w:ascii="Arial; Helvetica" w:hAnsi="Arial; Helvetica"/>
                <w:b/>
                <w:bCs/>
                <w:color w:val="000080"/>
              </w:rPr>
              <w:t>COMMENT &amp; ANALYSIS: Potent practices to tempt a calculating saint: Financial reporting failures and misstatements of earnings are becoming a feature of America's long bull run</w:t>
            </w:r>
          </w:p>
        </w:tc>
      </w:tr>
      <w:tr>
        <w:trPr/>
        <w:tc>
          <w:tcPr>
            <w:tcW w:w="6765" w:type="dxa"/>
            <w:gridSpan w:val="3"/>
            <w:tcBorders/>
          </w:tcPr>
          <w:p>
            <w:pPr>
              <w:pStyle w:val="Normal"/>
              <w:rPr/>
            </w:pPr>
            <w:r>
              <w:rPr/>
              <w:t xml:space="preserve">[ </w:t>
            </w:r>
            <w:r>
              <w:rPr>
                <w:rStyle w:val="Hyperlink"/>
                <w:color w:val="000080"/>
              </w:rPr>
              <w:t>Back to Results Page</w:t>
            </w:r>
            <w:r>
              <w:rPr/>
              <w:t xml:space="preserve"> ] </w:t>
            </w:r>
          </w:p>
        </w:tc>
        <w:tc>
          <w:tcPr>
            <w:tcW w:w="0" w:type="dxa"/>
            <w:vMerge w:val="continue"/>
            <w:tcBorders/>
          </w:tcPr>
          <w:p>
            <w:pPr>
              <w:pStyle w:val="Normal"/>
              <w:snapToGrid w:val="false"/>
              <w:rPr/>
            </w:pPr>
            <w:r>
              <w:rPr/>
            </w:r>
          </w:p>
        </w:tc>
        <w:tc>
          <w:tcPr>
            <w:tcW w:w="0" w:type="dxa"/>
            <w:vMerge w:val="continue"/>
            <w:tcBorders/>
          </w:tcPr>
          <w:p>
            <w:pPr>
              <w:pStyle w:val="Normal"/>
              <w:snapToGrid w:val="false"/>
              <w:rPr/>
            </w:pPr>
            <w:r>
              <w:rPr/>
            </w:r>
          </w:p>
        </w:tc>
      </w:tr>
      <w:tr>
        <w:trPr/>
        <w:tc>
          <w:tcPr>
            <w:tcW w:w="6765" w:type="dxa"/>
            <w:gridSpan w:val="3"/>
            <w:tcBorders/>
          </w:tcPr>
          <w:p>
            <w:pPr>
              <w:pStyle w:val="Normal"/>
              <w:rPr/>
            </w:pPr>
            <w:r>
              <w:rPr/>
              <w:t>"</w:t>
            </w:r>
          </w:p>
        </w:tc>
      </w:tr>
      <w:tr>
        <w:trPr/>
        <w:tc>
          <w:tcPr>
            <w:tcW w:w="6765" w:type="dxa"/>
            <w:gridSpan w:val="3"/>
            <w:tcBorders/>
          </w:tcPr>
          <w:p>
            <w:pPr>
              <w:pStyle w:val="Normal"/>
              <w:rPr/>
            </w:pPr>
            <w:r>
              <w:rPr/>
              <w:t>"</w:t>
            </w:r>
          </w:p>
        </w:tc>
      </w:tr>
      <w:tr>
        <w:trPr/>
        <w:tc>
          <w:tcPr>
            <w:tcW w:w="6765" w:type="dxa"/>
            <w:gridSpan w:val="3"/>
            <w:tcBorders/>
          </w:tcPr>
          <w:p>
            <w:pPr>
              <w:pStyle w:val="Normal"/>
              <w:rPr/>
            </w:pPr>
            <w:r>
              <w:rPr/>
              <w:t>"</w:t>
            </w:r>
          </w:p>
        </w:tc>
      </w:tr>
      <w:tr>
        <w:trPr/>
        <w:tc>
          <w:tcPr>
            <w:tcW w:w="6765" w:type="dxa"/>
            <w:gridSpan w:val="3"/>
            <w:tcBorders/>
          </w:tcPr>
          <w:p>
            <w:pPr>
              <w:pStyle w:val="Normal"/>
              <w:rPr>
                <w:rFonts w:ascii="Arial; Helvetica" w:hAnsi="Arial; Helvetica" w:eastAsia="Arial; Helvetica" w:cs="Arial; Helvetica"/>
              </w:rPr>
            </w:pPr>
            <w:r>
              <w:rPr>
                <w:rFonts w:eastAsia="Arial; Helvetica" w:cs="Arial; Helvetica" w:ascii="Arial; Helvetica" w:hAnsi="Arial; Helvetica"/>
                <w:b/>
                <w:bCs/>
              </w:rPr>
              <w:t>COMMENT &amp; ANALYSIS: Potent practices to tempt a calculating saint: Financial reporting failures and misstatements of earnings are becoming a feature of America's long bull run</w:t>
            </w:r>
            <w:r>
              <w:rPr>
                <w:rFonts w:eastAsia="Arial; Helvetica" w:cs="Arial; Helvetica" w:ascii="Arial; Helvetica" w:hAnsi="Arial; Helvetica"/>
              </w:rPr>
              <w:br/>
            </w:r>
            <w:r>
              <w:rPr>
                <w:rFonts w:eastAsia="Arial; Helvetica" w:cs="Arial; Helvetica" w:ascii="Arial; Helvetica" w:hAnsi="Arial; Helvetica"/>
                <w:sz w:val="18"/>
                <w:szCs w:val="18"/>
              </w:rPr>
              <w:t>83% match; Financial Times ; 07-Aug-2000 12:00:00 am ; 805 words</w:t>
            </w:r>
            <w:r>
              <w:rPr>
                <w:rFonts w:eastAsia="Arial; Helvetica" w:cs="Arial; Helvetica" w:ascii="Arial; Helvetica" w:hAnsi="Arial; Helvetica"/>
              </w:rPr>
              <w:br/>
            </w:r>
            <w:r>
              <w:rPr>
                <w:rFonts w:eastAsia="Arial; Helvetica" w:cs="Arial; Helvetica" w:ascii="Arial; Helvetica" w:hAnsi="Arial; Helvetica"/>
                <w:sz w:val="18"/>
                <w:szCs w:val="18"/>
              </w:rPr>
              <w:t>By JAMES GRANT</w:t>
            </w:r>
          </w:p>
          <w:p>
            <w:pPr>
              <w:pStyle w:val="Normal"/>
              <w:rPr>
                <w:rFonts w:ascii="Arial; Helvetica" w:hAnsi="Arial; Helvetica" w:eastAsia="Arial; Helvetica" w:cs="Arial; Helvetica"/>
              </w:rPr>
            </w:pPr>
            <w:r>
              <w:rPr>
                <w:rFonts w:eastAsia="Arial; Helvetica" w:cs="Arial; Helvetica" w:ascii="Arial; Helvetica" w:hAnsi="Arial; Helvetica"/>
              </w:rPr>
              <w:t xml:space="preserve">"Honesty is the best policy," said Benjamin Franklin, not anticipating the temptations presented by the greatest bull market. Honesty may still be the best policy, even on Wall Street, but it is far from being the most lucrative one. </w:t>
            </w:r>
          </w:p>
          <w:p>
            <w:pPr>
              <w:pStyle w:val="Normal"/>
              <w:rPr>
                <w:rFonts w:ascii="Arial; Helvetica" w:hAnsi="Arial; Helvetica" w:eastAsia="Arial; Helvetica" w:cs="Arial; Helvetica"/>
              </w:rPr>
            </w:pPr>
            <w:r>
              <w:rPr>
                <w:rFonts w:eastAsia="Arial; Helvetica" w:cs="Arial; Helvetica" w:ascii="Arial; Helvetica" w:hAnsi="Arial; Helvetica"/>
              </w:rPr>
              <w:t xml:space="preserve">Men and women of the world understand that human nature is a constant and that monks do not manage hedge funds. However, this particular stock market has set the bar of temptation at a new low. So great are the potential rewards for deceit that even a saint might stop to calculate the opportunity cost of telling the truth, if the truth should fail to "meet analysts' expectations". </w:t>
            </w:r>
          </w:p>
          <w:p>
            <w:pPr>
              <w:pStyle w:val="Normal"/>
              <w:rPr>
                <w:rFonts w:ascii="Arial; Helvetica" w:hAnsi="Arial; Helvetica" w:eastAsia="Arial; Helvetica" w:cs="Arial; Helvetica"/>
              </w:rPr>
            </w:pPr>
            <w:r>
              <w:rPr>
                <w:rFonts w:eastAsia="Arial; Helvetica" w:cs="Arial; Helvetica" w:ascii="Arial; Helvetica" w:hAnsi="Arial; Helvetica"/>
              </w:rPr>
              <w:t xml:space="preserve">A case study in the long-running bear market in financial candour emerged last week with a disclosure that a software company, Unify Corporation, had recognised revenues that a fair-minded auditor might not have noticed even in broad daylight. </w:t>
            </w:r>
          </w:p>
          <w:p>
            <w:pPr>
              <w:pStyle w:val="Normal"/>
              <w:rPr>
                <w:rFonts w:ascii="Arial; Helvetica" w:hAnsi="Arial; Helvetica" w:eastAsia="Arial; Helvetica" w:cs="Arial; Helvetica"/>
              </w:rPr>
            </w:pPr>
            <w:r>
              <w:rPr>
                <w:rFonts w:eastAsia="Arial; Helvetica" w:cs="Arial; Helvetica" w:ascii="Arial; Helvetica" w:hAnsi="Arial; Helvetica"/>
              </w:rPr>
              <w:t xml:space="preserve">The significant aspect of the story was not the absolute number of dollars of sales that were questionably claimed - in the 15 months ended in January, the company's revenues, as reported, totalled just Dollars 45m. Rather, observes Floyd Norris, a financial writer with a particular knowledge of accounting issues, the crux of the matter was the potent impact of these practices on stock prices. </w:t>
            </w:r>
          </w:p>
          <w:p>
            <w:pPr>
              <w:pStyle w:val="Normal"/>
              <w:rPr>
                <w:rFonts w:ascii="Arial; Helvetica" w:hAnsi="Arial; Helvetica" w:eastAsia="Arial; Helvetica" w:cs="Arial; Helvetica"/>
              </w:rPr>
            </w:pPr>
            <w:r>
              <w:rPr>
                <w:rFonts w:eastAsia="Arial; Helvetica" w:cs="Arial; Helvetica" w:ascii="Arial; Helvetica" w:hAnsi="Arial; Helvetica"/>
              </w:rPr>
              <w:t xml:space="preserve">Thus, from October 1998 to December 1999, Unify's market cap leapt from Dollars 25m to Dollars 750m (now it is Dollars 72m). If the case goes to court, how blame will be apportioned for the rise and fall in the share price is anyone's guess. Possibly, in view of the vast profits to be earned by stretching the truth, a jury will find the stock market guilty of entrapment and send it to prison. </w:t>
            </w:r>
          </w:p>
          <w:p>
            <w:pPr>
              <w:pStyle w:val="Normal"/>
              <w:rPr>
                <w:rFonts w:ascii="Arial; Helvetica" w:hAnsi="Arial; Helvetica" w:eastAsia="Arial; Helvetica" w:cs="Arial; Helvetica"/>
              </w:rPr>
            </w:pPr>
            <w:r>
              <w:rPr>
                <w:rFonts w:eastAsia="Arial; Helvetica" w:cs="Arial; Helvetica" w:ascii="Arial; Helvetica" w:hAnsi="Arial; Helvetica"/>
              </w:rPr>
              <w:t xml:space="preserve">"What we've seen over the past 18 months is an alarming increase in instances of financial reporting failures, large misstatements of earnings," said Richard Walker, chief of the Securities and Exchange Commission's enforcement division, 18 months ago. In the light of subsequent events, including the fraud at CUC International (better known by the name it took in a merger, Cendant), the incidence of deception must today be counted doubly alarming. </w:t>
            </w:r>
          </w:p>
          <w:p>
            <w:pPr>
              <w:pStyle w:val="Normal"/>
              <w:rPr>
                <w:rFonts w:ascii="Arial; Helvetica" w:hAnsi="Arial; Helvetica" w:eastAsia="Arial; Helvetica" w:cs="Arial; Helvetica"/>
              </w:rPr>
            </w:pPr>
            <w:r>
              <w:rPr>
                <w:rFonts w:eastAsia="Arial; Helvetica" w:cs="Arial; Helvetica" w:ascii="Arial; Helvetica" w:hAnsi="Arial; Helvetica"/>
              </w:rPr>
              <w:t xml:space="preserve">One underlying cause of the trouble is suggested by the theme of next month's DLJ Growth Stock Conference: "Celebrate! What Could Go Right." Donaldson, Lufkin &amp; Jenrette, host of the event, elaborates as follows: "We operate in a world of probabilities, most often balancing positive and negative outcomes in a mix of fear and hope, because that is our job and, most often, that is our world. This year, we hope that our conference will contemplate not what will occur, but rather what, worthy of celebration, could occur." If it is not unfair to deconstruct marketing copy, DLJ appears to be saying: if the facts at hand do not happen to serve, hope for the facts that will. </w:t>
            </w:r>
          </w:p>
          <w:p>
            <w:pPr>
              <w:pStyle w:val="Normal"/>
              <w:rPr>
                <w:rFonts w:ascii="Arial; Helvetica" w:hAnsi="Arial; Helvetica" w:eastAsia="Arial; Helvetica" w:cs="Arial; Helvetica"/>
              </w:rPr>
            </w:pPr>
            <w:r>
              <w:rPr>
                <w:rFonts w:eastAsia="Arial; Helvetica" w:cs="Arial; Helvetica" w:ascii="Arial; Helvetica" w:hAnsi="Arial; Helvetica"/>
              </w:rPr>
              <w:t xml:space="preserve">In a stock market as richly priced as this one, reality often falls short of valuation. It is thus for the sake of improving reality - of making it worthy of the prices paid, especially on the deluxe Nasdaq - that accountants, securities analysts and government statisticians have done some of their most imaginative work. Across the gamut of financial and economic reporting, the hopeful datum is the one in demand. </w:t>
            </w:r>
          </w:p>
          <w:p>
            <w:pPr>
              <w:pStyle w:val="Normal"/>
              <w:rPr>
                <w:rFonts w:ascii="Arial; Helvetica" w:hAnsi="Arial; Helvetica" w:eastAsia="Arial; Helvetica" w:cs="Arial; Helvetica"/>
              </w:rPr>
            </w:pPr>
            <w:r>
              <w:rPr>
                <w:rFonts w:eastAsia="Arial; Helvetica" w:cs="Arial; Helvetica" w:ascii="Arial; Helvetica" w:hAnsi="Arial; Helvetica"/>
              </w:rPr>
              <w:t xml:space="preserve">Thus, it is the benign "core" inflation rate, not the worrisome "headline" rate, that the bond market chooses to focus on. Perhaps it is the core rate that counts most at this point in the business cycle. However, the market and the Federal Reserve went down the same hopeful path in the early 1970s. Under the leadership of Arthur Burns, the Fed chairman, they decided that the gushing prices of crude oil and the soaring cost of food were really of no monetary interest. The great inflation duly followed. "Of course," observes Colin Negrych, principal at Barclay Investment, New York, "inflation ex-inflation is always zero." </w:t>
            </w:r>
          </w:p>
          <w:p>
            <w:pPr>
              <w:pStyle w:val="Normal"/>
              <w:rPr>
                <w:rFonts w:ascii="Arial; Helvetica" w:hAnsi="Arial; Helvetica" w:eastAsia="Arial; Helvetica" w:cs="Arial; Helvetica"/>
              </w:rPr>
            </w:pPr>
            <w:r>
              <w:rPr>
                <w:rFonts w:eastAsia="Arial; Helvetica" w:cs="Arial; Helvetica" w:ascii="Arial; Helvetica" w:hAnsi="Arial; Helvetica"/>
              </w:rPr>
              <w:t xml:space="preserve">Without an audience willing to suspend its disbelief, our financial fantasists would have no one to delude but themselves. However, in the playhouse of Generally Accepted Accounting Principles, it is standing room only these days. Nobody has coerced investors to swallow the fiction that the cost of stock options is the kind of cost that should be omitted from the corporate income statement. They swallowed voluntarily. Nor did Congress pass a law to force the acceptance of Ebitda, or earnings before interest, taxes, depreciation and amortisation, as a surrogate for actual earnings. Because it is less rigorous than the standard measures of corporate profitability, Ebitda has sold itself. </w:t>
            </w:r>
          </w:p>
          <w:p>
            <w:pPr>
              <w:pStyle w:val="Normal"/>
              <w:rPr>
                <w:rFonts w:ascii="Arial; Helvetica" w:hAnsi="Arial; Helvetica" w:eastAsia="Arial; Helvetica" w:cs="Arial; Helvetica"/>
              </w:rPr>
            </w:pPr>
            <w:r>
              <w:rPr>
                <w:rFonts w:eastAsia="Arial; Helvetica" w:cs="Arial; Helvetica" w:ascii="Arial; Helvetica" w:hAnsi="Arial; Helvetica"/>
              </w:rPr>
              <w:t xml:space="preserve">In a list of 10 "critical failings" of this metric of choice, Pamela M. Stumpp, senior vice-president at Moody's Investors Service, noted: "Ebitda can drift from the realm of reality." </w:t>
            </w:r>
          </w:p>
          <w:p>
            <w:pPr>
              <w:pStyle w:val="Normal"/>
              <w:rPr>
                <w:rFonts w:ascii="Arial; Helvetica" w:hAnsi="Arial; Helvetica" w:eastAsia="Arial; Helvetica" w:cs="Arial; Helvetica"/>
              </w:rPr>
            </w:pPr>
            <w:r>
              <w:rPr>
                <w:rFonts w:eastAsia="Arial; Helvetica" w:cs="Arial; Helvetica" w:ascii="Arial; Helvetica" w:hAnsi="Arial; Helvetica"/>
              </w:rPr>
              <w:t xml:space="preserve">Many chief financial officers admit to cheating. Many more admit to being asked to cheat. The results are in the public domain. In April 1998, at a conference sponsored by Business Week, 160 senior financial executives responded to the following statement: "As CFO, I have fought off other executives' requests that I misrepresent corporate results." The responses were: Yes, I fought them off, 55 per cent; I yielded to the requests, 12 per cent; have never received such a request, 33 per cent. </w:t>
            </w:r>
          </w:p>
          <w:p>
            <w:pPr>
              <w:pStyle w:val="Normal"/>
              <w:rPr>
                <w:rFonts w:ascii="Arial; Helvetica" w:hAnsi="Arial; Helvetica" w:eastAsia="Arial; Helvetica" w:cs="Arial; Helvetica"/>
              </w:rPr>
            </w:pPr>
            <w:r>
              <w:rPr>
                <w:rFonts w:eastAsia="Arial; Helvetica" w:cs="Arial; Helvetica" w:ascii="Arial; Helvetica" w:hAnsi="Arial; Helvetica"/>
              </w:rPr>
              <w:t xml:space="preserve">William S. Lerach, a well-known San Diego securities law litigator, sums up investors' predicament: "Virtually every number in a corporate financial report is created by judgments and estimates made by corporate insiders whose cash bonuses depend upon meeting pre-set earnings targets and whose ability to pocket millions from option-related stock sales is dependent upon meeting public earnings expectations." </w:t>
            </w:r>
          </w:p>
          <w:p>
            <w:pPr>
              <w:pStyle w:val="Normal"/>
              <w:rPr>
                <w:rFonts w:ascii="Arial; Helvetica" w:hAnsi="Arial; Helvetica" w:eastAsia="Arial; Helvetica" w:cs="Arial; Helvetica"/>
              </w:rPr>
            </w:pPr>
            <w:r>
              <w:rPr>
                <w:rFonts w:eastAsia="Arial; Helvetica" w:cs="Arial; Helvetica" w:ascii="Arial; Helvetica" w:hAnsi="Arial; Helvetica"/>
              </w:rPr>
              <w:t xml:space="preserve">Four years from now, such ideas might enliven a presidential candidate's election platform. </w:t>
            </w:r>
          </w:p>
          <w:p>
            <w:pPr>
              <w:pStyle w:val="Normal"/>
              <w:rPr/>
            </w:pPr>
            <w:r>
              <w:rPr>
                <w:rFonts w:eastAsia="Arial; Helvetica" w:cs="Arial; Helvetica" w:ascii="Arial; Helvetica" w:hAnsi="Arial; Helvetica"/>
              </w:rPr>
              <w:t xml:space="preserve">James </w:t>
            </w:r>
            <w:r>
              <w:rPr>
                <w:rFonts w:eastAsia="Arial; Helvetica" w:cs="Arial; Helvetica" w:ascii="Arial; Helvetica" w:hAnsi="Arial; Helvetica"/>
                <w:color w:val="FF0000"/>
              </w:rPr>
              <w:t>Grant</w:t>
            </w:r>
            <w:r>
              <w:rPr>
                <w:rFonts w:eastAsia="Arial; Helvetica" w:cs="Arial; Helvetica" w:ascii="Arial; Helvetica" w:hAnsi="Arial; Helvetica"/>
              </w:rPr>
              <w:t xml:space="preserve"> is the editor of </w:t>
            </w:r>
            <w:r>
              <w:rPr>
                <w:rFonts w:eastAsia="Arial; Helvetica" w:cs="Arial; Helvetica" w:ascii="Arial; Helvetica" w:hAnsi="Arial; Helvetica"/>
                <w:color w:val="FF0000"/>
              </w:rPr>
              <w:t>Grant</w:t>
            </w:r>
            <w:r>
              <w:rPr>
                <w:rFonts w:eastAsia="Arial; Helvetica" w:cs="Arial; Helvetica" w:ascii="Arial; Helvetica" w:hAnsi="Arial; Helvetica"/>
              </w:rPr>
              <w:t xml:space="preserve">'s Interest Rate Observer. www.grantspub.com </w:t>
            </w:r>
          </w:p>
          <w:p>
            <w:pPr>
              <w:pStyle w:val="Normal"/>
              <w:rPr>
                <w:rFonts w:ascii="Arial; Helvetica" w:hAnsi="Arial; Helvetica" w:eastAsia="Arial; Helvetica" w:cs="Arial; Helvetica"/>
              </w:rPr>
            </w:pPr>
            <w:r>
              <w:rPr>
                <w:rFonts w:eastAsia="Arial; Helvetica" w:cs="Arial; Helvetica" w:ascii="Arial; Helvetica" w:hAnsi="Arial; Helvetica"/>
              </w:rPr>
              <w:t xml:space="preserve">Copyright © The Financial Times Limited </w:t>
            </w:r>
          </w:p>
        </w:tc>
      </w:tr>
    </w:tbl>
    <w:p>
      <w:pPr>
        <w:pStyle w:val="z-BottomofForm"/>
        <w:spacing w:before="100" w:after="100"/>
        <w:rPr/>
      </w:pPr>
      <w:r>
        <w:rPr/>
        <w:t>Bottom of Form 1</w:t>
      </w:r>
    </w:p>
    <w:p>
      <w:pPr>
        <w:pStyle w:val="Normal"/>
        <w:rPr/>
      </w:pPr>
      <w:r>
        <w:rPr/>
      </w:r>
    </w:p>
    <w:sectPr>
      <w:type w:val="nextPage"/>
      <w:pgSz w:w="12240" w:h="15840"/>
      <w:pgMar w:left="1440" w:right="144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altName w:val=" Helvetica"/>
    <w:charset w:val="01"/>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qForma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z-BottomofForm">
    <w:name w:val="z-Bottom of Form"/>
    <w:next w:val="Normal"/>
    <w:qFormat/>
    <w:pPr>
      <w:widowControl/>
      <w:pBdr>
        <w:top w:val="double" w:sz="6" w:space="0" w:color="000000"/>
      </w:pBdr>
      <w:bidi w:val="0"/>
      <w:jc w:val="center"/>
    </w:pPr>
    <w:rPr>
      <w:rFonts w:ascii="Arial; Helvetica" w:hAnsi="Arial; Helvetica" w:eastAsia="Arial; Helvetica" w:cs="Arial; Helvetica"/>
      <w:vanish/>
      <w:color w:val="auto"/>
      <w:sz w:val="16"/>
      <w:szCs w:val="16"/>
      <w:lang w:val="en-US" w:eastAsia="zh-CN" w:bidi="hi-IN"/>
    </w:rPr>
  </w:style>
  <w:style w:type="paragraph" w:styleId="z-TopofForm">
    <w:name w:val="z-Top of Form"/>
    <w:next w:val="Normal"/>
    <w:qFormat/>
    <w:pPr>
      <w:widowControl/>
      <w:pBdr>
        <w:bottom w:val="double" w:sz="6" w:space="0" w:color="000000"/>
      </w:pBdr>
      <w:bidi w:val="0"/>
      <w:jc w:val="center"/>
    </w:pPr>
    <w:rPr>
      <w:rFonts w:ascii="Arial; Helvetica" w:hAnsi="Arial; Helvetica" w:eastAsia="Arial; Helvetica" w:cs="Arial; Helvetica"/>
      <w:vanish/>
      <w:color w:val="auto"/>
      <w:sz w:val="16"/>
      <w:szCs w:val="16"/>
      <w:lang w:val="en-US"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image" Target="media/image1.emf"/><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2000-08-07T10:57:00Z</dcterms:created>
  <dc:creator>vkamins</dc:creator>
  <dc:description/>
  <dc:language>en-CA</dc:language>
  <cp:lastModifiedBy>vkamins</cp:lastModifiedBy>
  <dcterms:modified xsi:type="dcterms:W3CDTF">2000-08-07T10:58:00Z</dcterms:modified>
  <cp:revision>1</cp:revision>
  <dc:subject/>
  <dc:title/>
</cp:coreProperties>
</file>