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402179284"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Keith Fullenweider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tabs>
          <w:tab w:val="left" w:pos="1440" w:leader="none"/>
          <w:tab w:val="left" w:pos="2160" w:leader="none"/>
          <w:tab w:val="left" w:pos="5940" w:leader="none"/>
        </w:tabs>
        <w:ind w:start="0" w:end="720"/>
        <w:rPr>
          <w:color w:val="auto"/>
        </w:rPr>
      </w:pPr>
      <w:r>
        <w:rPr>
          <w:color w:val="auto"/>
        </w:rPr>
        <w:t xml:space="preserve">The following is the weekly update regarding state approval of Granite.  </w:t>
      </w:r>
    </w:p>
    <w:p>
      <w:pPr>
        <w:pStyle w:val="Body"/>
        <w:tabs>
          <w:tab w:val="left" w:pos="1440" w:leader="none"/>
          <w:tab w:val="left" w:pos="2160" w:leader="none"/>
          <w:tab w:val="left" w:pos="5940" w:leader="none"/>
        </w:tabs>
        <w:ind w:start="0" w:end="720"/>
        <w:rPr>
          <w:color w:val="auto"/>
        </w:rPr>
      </w:pPr>
      <w:r>
        <w:rPr>
          <w:color w:val="auto"/>
        </w:rPr>
      </w:r>
    </w:p>
    <w:p>
      <w:pPr>
        <w:pStyle w:val="Body"/>
        <w:tabs>
          <w:tab w:val="left" w:pos="1440" w:leader="none"/>
          <w:tab w:val="left" w:pos="2160" w:leader="none"/>
          <w:tab w:val="left" w:pos="5940" w:leader="none"/>
        </w:tabs>
        <w:ind w:start="0" w:end="720"/>
        <w:jc w:val="center"/>
        <w:rPr>
          <w:color w:val="auto"/>
        </w:rPr>
      </w:pPr>
      <w:r>
        <w:rPr>
          <w:color w:val="auto"/>
        </w:rPr>
        <w:t>Schedule</w:t>
      </w:r>
    </w:p>
    <w:p>
      <w:pPr>
        <w:pStyle w:val="Body"/>
        <w:ind w:start="0" w:end="5130"/>
        <w:rPr>
          <w:color w:val="auto"/>
        </w:rPr>
      </w:pPr>
      <w:r>
        <w:rPr>
          <w:color w:val="auto"/>
        </w:rPr>
      </w:r>
    </w:p>
    <w:p>
      <w:pPr>
        <w:pStyle w:val="Body"/>
        <w:ind w:start="0" w:end="720"/>
        <w:rPr>
          <w:color w:val="auto"/>
        </w:rPr>
      </w:pPr>
      <w:r>
        <w:rPr>
          <w:color w:val="auto"/>
        </w:rPr>
        <w:t>We are currently working with the following schedule.  Note that dates have “slipped” from our conference call last week in response to Sierra’s concerns with staffing, workload, etc.  To assist Sierra we have offered to draft portions of the application and testimony for the Oregon filing.</w:t>
      </w:r>
    </w:p>
    <w:p>
      <w:pPr>
        <w:pStyle w:val="Body"/>
        <w:ind w:start="0" w:end="5130"/>
        <w:rPr>
          <w:color w:val="auto"/>
        </w:rPr>
      </w:pPr>
      <w:r>
        <w:rPr>
          <w:color w:val="auto"/>
        </w:rPr>
      </w:r>
    </w:p>
    <w:tbl>
      <w:tblPr>
        <w:tblW w:w="7470" w:type="dxa"/>
        <w:jc w:val="start"/>
        <w:tblInd w:w="1908" w:type="dxa"/>
        <w:tblLayout w:type="fixed"/>
        <w:tblCellMar>
          <w:top w:w="0" w:type="dxa"/>
          <w:start w:w="108" w:type="dxa"/>
          <w:bottom w:w="0" w:type="dxa"/>
          <w:end w:w="108" w:type="dxa"/>
        </w:tblCellMar>
      </w:tblPr>
      <w:tblGrid>
        <w:gridCol w:w="2420"/>
        <w:gridCol w:w="5050"/>
      </w:tblGrid>
      <w:tr>
        <w:trPr/>
        <w:tc>
          <w:tcPr>
            <w:tcW w:w="2420" w:type="dxa"/>
            <w:tcBorders>
              <w:top w:val="single" w:sz="12" w:space="0" w:color="000000"/>
              <w:start w:val="single" w:sz="12" w:space="0" w:color="000000"/>
              <w:bottom w:val="single" w:sz="12" w:space="0" w:color="000000"/>
              <w:end w:val="single" w:sz="4" w:space="0" w:color="000000"/>
            </w:tcBorders>
          </w:tcPr>
          <w:p>
            <w:pPr>
              <w:pStyle w:val="Body"/>
              <w:ind w:start="0" w:end="0"/>
              <w:rPr>
                <w:b/>
                <w:color w:val="auto"/>
              </w:rPr>
            </w:pPr>
            <w:r>
              <w:rPr>
                <w:b/>
                <w:color w:val="auto"/>
              </w:rPr>
              <w:t>Date</w:t>
            </w:r>
          </w:p>
        </w:tc>
        <w:tc>
          <w:tcPr>
            <w:tcW w:w="5050" w:type="dxa"/>
            <w:tcBorders>
              <w:top w:val="single" w:sz="12" w:space="0" w:color="000000"/>
              <w:start w:val="single" w:sz="4" w:space="0" w:color="000000"/>
              <w:bottom w:val="single" w:sz="12" w:space="0" w:color="000000"/>
              <w:end w:val="single" w:sz="4" w:space="0" w:color="000000"/>
            </w:tcBorders>
          </w:tcPr>
          <w:p>
            <w:pPr>
              <w:pStyle w:val="Body"/>
              <w:ind w:start="0" w:end="0"/>
              <w:rPr>
                <w:b/>
                <w:color w:val="auto"/>
              </w:rPr>
            </w:pPr>
            <w:r>
              <w:rPr>
                <w:b/>
                <w:color w:val="auto"/>
              </w:rPr>
              <w:t>Event</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12/22/99</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Filing of joint application, supporting testimony, request for “super” protective order with Oregon PUC.  Filing of document (TBD) with Nevada PUC.</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1/5/00</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Prehearing conference in Oregon</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12/22/99 – 2/18/00</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Discovery period</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2/18/00</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Filing date for reply testimony by interested parties</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Early March</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Settlement Conferences</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3/30/00</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Rebuttal Testimony by Applicants</w:t>
            </w:r>
          </w:p>
        </w:tc>
      </w:tr>
      <w:tr>
        <w:trPr/>
        <w:tc>
          <w:tcPr>
            <w:tcW w:w="2420" w:type="dxa"/>
            <w:tcBorders>
              <w:top w:val="single" w:sz="6" w:space="0" w:color="000000"/>
              <w:start w:val="single" w:sz="12" w:space="0" w:color="000000"/>
              <w:bottom w:val="single" w:sz="6" w:space="0" w:color="000000"/>
              <w:end w:val="single" w:sz="4" w:space="0" w:color="000000"/>
            </w:tcBorders>
          </w:tcPr>
          <w:p>
            <w:pPr>
              <w:pStyle w:val="Body"/>
              <w:ind w:start="0" w:end="0"/>
              <w:rPr>
                <w:color w:val="auto"/>
              </w:rPr>
            </w:pPr>
            <w:r>
              <w:rPr>
                <w:color w:val="auto"/>
              </w:rPr>
              <w:t>4/17/00</w:t>
            </w:r>
          </w:p>
        </w:tc>
        <w:tc>
          <w:tcPr>
            <w:tcW w:w="5050" w:type="dxa"/>
            <w:tcBorders>
              <w:top w:val="single" w:sz="6" w:space="0" w:color="000000"/>
              <w:start w:val="single" w:sz="4" w:space="0" w:color="000000"/>
              <w:bottom w:val="single" w:sz="6" w:space="0" w:color="000000"/>
              <w:end w:val="single" w:sz="4" w:space="0" w:color="000000"/>
            </w:tcBorders>
          </w:tcPr>
          <w:p>
            <w:pPr>
              <w:pStyle w:val="Body"/>
              <w:ind w:start="0" w:end="0"/>
              <w:rPr>
                <w:color w:val="auto"/>
              </w:rPr>
            </w:pPr>
            <w:r>
              <w:rPr>
                <w:color w:val="auto"/>
              </w:rPr>
              <w:t>Hearings</w:t>
            </w:r>
          </w:p>
        </w:tc>
      </w:tr>
      <w:tr>
        <w:trPr/>
        <w:tc>
          <w:tcPr>
            <w:tcW w:w="2420" w:type="dxa"/>
            <w:tcBorders>
              <w:start w:val="single" w:sz="12" w:space="0" w:color="000000"/>
              <w:bottom w:val="single" w:sz="12" w:space="0" w:color="000000"/>
              <w:end w:val="single" w:sz="4" w:space="0" w:color="000000"/>
            </w:tcBorders>
          </w:tcPr>
          <w:p>
            <w:pPr>
              <w:pStyle w:val="Body"/>
              <w:ind w:start="0" w:end="0"/>
              <w:rPr>
                <w:color w:val="auto"/>
              </w:rPr>
            </w:pPr>
            <w:r>
              <w:rPr>
                <w:color w:val="auto"/>
              </w:rPr>
              <w:t>6/2/00</w:t>
            </w:r>
          </w:p>
        </w:tc>
        <w:tc>
          <w:tcPr>
            <w:tcW w:w="5050" w:type="dxa"/>
            <w:tcBorders>
              <w:start w:val="single" w:sz="4" w:space="0" w:color="000000"/>
              <w:bottom w:val="single" w:sz="12" w:space="0" w:color="000000"/>
              <w:end w:val="single" w:sz="4" w:space="0" w:color="000000"/>
            </w:tcBorders>
          </w:tcPr>
          <w:p>
            <w:pPr>
              <w:pStyle w:val="Body"/>
              <w:ind w:start="0" w:end="0"/>
              <w:rPr>
                <w:color w:val="auto"/>
              </w:rPr>
            </w:pPr>
            <w:r>
              <w:rPr>
                <w:color w:val="auto"/>
              </w:rPr>
              <w:t>Decision</w:t>
            </w:r>
          </w:p>
        </w:tc>
      </w:tr>
    </w:tbl>
    <w:p>
      <w:pPr>
        <w:pStyle w:val="Body"/>
        <w:ind w:start="0" w:end="0"/>
        <w:rPr>
          <w:color w:val="auto"/>
        </w:rPr>
      </w:pPr>
      <w:r>
        <w:rPr>
          <w:color w:val="auto"/>
        </w:rPr>
      </w:r>
    </w:p>
    <w:p>
      <w:pPr>
        <w:pStyle w:val="Body"/>
        <w:ind w:start="0" w:end="0"/>
        <w:rPr>
          <w:color w:val="auto"/>
        </w:rPr>
      </w:pPr>
      <w:r>
        <w:rPr>
          <w:color w:val="auto"/>
        </w:rPr>
        <w:t xml:space="preserve">Ultimately the Nevada and Oregon PUCs will determine the schedule for the state proceedings.   </w:t>
      </w:r>
    </w:p>
    <w:p>
      <w:pPr>
        <w:pStyle w:val="Body"/>
        <w:ind w:start="0" w:end="0"/>
        <w:rPr>
          <w:color w:val="auto"/>
        </w:rPr>
      </w:pPr>
      <w:r>
        <w:rPr>
          <w:color w:val="auto"/>
        </w:rPr>
      </w:r>
    </w:p>
    <w:p>
      <w:pPr>
        <w:pStyle w:val="Body"/>
        <w:ind w:start="0" w:end="0"/>
        <w:jc w:val="center"/>
        <w:rPr>
          <w:color w:val="auto"/>
        </w:rPr>
      </w:pPr>
      <w:r>
        <w:rPr>
          <w:color w:val="auto"/>
        </w:rPr>
        <w:t>Meetings with ICNU</w:t>
      </w:r>
    </w:p>
    <w:p>
      <w:pPr>
        <w:pStyle w:val="Body"/>
        <w:ind w:start="0" w:end="0"/>
        <w:jc w:val="center"/>
        <w:rPr>
          <w:color w:val="auto"/>
        </w:rPr>
      </w:pPr>
      <w:r>
        <w:rPr>
          <w:color w:val="auto"/>
        </w:rPr>
      </w:r>
    </w:p>
    <w:p>
      <w:pPr>
        <w:pStyle w:val="Body"/>
        <w:ind w:start="0" w:end="0"/>
        <w:rPr>
          <w:color w:val="auto"/>
        </w:rPr>
      </w:pPr>
      <w:r>
        <w:rPr>
          <w:color w:val="auto"/>
        </w:rPr>
        <w:t>On November 17, Doug Ponn and Bill Branch (Sierra) and our team met with the Industrial Customers of Northwest Utilities (ICNU).  The meeting lasted approximately 3 hours during which time we discussed the following:</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 xml:space="preserve">SB 1149.  ICNU’s primary concern is with the PGE’s continued commitment to restructuring.  </w:t>
      </w:r>
    </w:p>
    <w:p>
      <w:pPr>
        <w:pStyle w:val="Body"/>
        <w:ind w:start="72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Timing of the application process.  We discussed our interest in expedited consideration of the acquisition.</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Benefits of the merger.  We discussed the potential savings resulting from Sierra’s work in the Nevada restructuring process.</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Concern over use of ratepayer dollars to fund renewable, low-income, etc. activities.  No MOU.</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Access to information.  ICNU wants application to be as complete as possible.</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Divestiture.  ICNU remains supportive of divesting PGE’s assets.</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 xml:space="preserve">ICNU wants discussion of continued treatment of special contracts.  </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ICNU expressed concern re:  “deals” that would affect rate spread (</w:t>
      </w:r>
      <w:r>
        <w:rPr>
          <w:i/>
          <w:color w:val="auto"/>
        </w:rPr>
        <w:t>i.e.,</w:t>
      </w:r>
      <w:r>
        <w:rPr>
          <w:color w:val="auto"/>
        </w:rPr>
        <w:t xml:space="preserve"> cost allocation between customer classes).</w:t>
      </w:r>
    </w:p>
    <w:p>
      <w:pPr>
        <w:pStyle w:val="Body"/>
        <w:ind w:start="0" w:end="0"/>
        <w:rPr>
          <w:color w:val="auto"/>
        </w:rPr>
      </w:pPr>
      <w:r>
        <w:rPr>
          <w:color w:val="auto"/>
        </w:rPr>
      </w:r>
    </w:p>
    <w:p>
      <w:pPr>
        <w:pStyle w:val="Body"/>
        <w:numPr>
          <w:ilvl w:val="0"/>
          <w:numId w:val="2"/>
        </w:numPr>
        <w:tabs>
          <w:tab w:val="left" w:pos="1080" w:leader="none"/>
        </w:tabs>
        <w:ind w:hanging="360" w:start="1080" w:end="0"/>
        <w:rPr>
          <w:color w:val="auto"/>
        </w:rPr>
      </w:pPr>
      <w:r>
        <w:rPr>
          <w:color w:val="auto"/>
        </w:rPr>
        <w:t xml:space="preserve">Power marketing activities by Sierra, PGE, </w:t>
      </w:r>
      <w:r>
        <w:rPr>
          <w:i/>
          <w:color w:val="auto"/>
        </w:rPr>
        <w:t>etc.</w:t>
      </w:r>
      <w:r>
        <w:rPr>
          <w:color w:val="auto"/>
        </w:rPr>
        <w:t>, ICNU seemed supportive of PGE’s status quo.</w:t>
      </w:r>
    </w:p>
    <w:p>
      <w:pPr>
        <w:pStyle w:val="Body"/>
        <w:ind w:start="0" w:end="0"/>
        <w:rPr>
          <w:color w:val="auto"/>
        </w:rPr>
      </w:pPr>
      <w:r>
        <w:rPr>
          <w:color w:val="auto"/>
        </w:rPr>
      </w:r>
    </w:p>
    <w:p>
      <w:pPr>
        <w:pStyle w:val="Body"/>
        <w:rPr>
          <w:color w:val="auto"/>
        </w:rPr>
      </w:pPr>
      <w:r>
        <w:rPr>
          <w:color w:val="auto"/>
        </w:rPr>
        <w:t>The meeting was constructive and positive in tone; although, ICNU continues to express concerns re: last merger and positions taken by companies.</w:t>
      </w:r>
    </w:p>
    <w:p>
      <w:pPr>
        <w:pStyle w:val="Body"/>
        <w:rPr>
          <w:color w:val="auto"/>
        </w:rPr>
      </w:pPr>
      <w:r>
        <w:rPr>
          <w:color w:val="auto"/>
        </w:rPr>
      </w:r>
    </w:p>
    <w:p>
      <w:pPr>
        <w:pStyle w:val="Body"/>
        <w:jc w:val="center"/>
        <w:rPr>
          <w:color w:val="auto"/>
        </w:rPr>
      </w:pPr>
      <w:r>
        <w:rPr>
          <w:color w:val="auto"/>
        </w:rPr>
        <w:t>Meeting with AOI</w:t>
      </w:r>
    </w:p>
    <w:p>
      <w:pPr>
        <w:pStyle w:val="Body"/>
        <w:jc w:val="center"/>
        <w:rPr>
          <w:color w:val="auto"/>
        </w:rPr>
      </w:pPr>
      <w:r>
        <w:rPr>
          <w:color w:val="auto"/>
        </w:rPr>
      </w:r>
    </w:p>
    <w:p>
      <w:pPr>
        <w:pStyle w:val="Body"/>
        <w:rPr>
          <w:color w:val="auto"/>
        </w:rPr>
      </w:pPr>
      <w:r>
        <w:rPr>
          <w:color w:val="auto"/>
        </w:rPr>
        <w:t>Ponn, Branch and our team met with the Association of Oregon Industries (AOI) on Monday, November 22.  In the restructuring process, AOI represents commercial customer interests.  AOI’s key issue is whether PGE will continue its support for restructuring.   It is likely that AOI will react (as ICNU) on any ratespread or ratepayer funding issues.</w:t>
      </w:r>
    </w:p>
    <w:p>
      <w:pPr>
        <w:pStyle w:val="Body"/>
        <w:rPr>
          <w:color w:val="auto"/>
        </w:rPr>
      </w:pPr>
      <w:r>
        <w:rPr>
          <w:color w:val="auto"/>
        </w:rPr>
      </w:r>
    </w:p>
    <w:p>
      <w:pPr>
        <w:pStyle w:val="Body"/>
        <w:jc w:val="center"/>
        <w:rPr>
          <w:color w:val="auto"/>
        </w:rPr>
      </w:pPr>
      <w:r>
        <w:rPr>
          <w:color w:val="auto"/>
        </w:rPr>
        <w:t>OPUC Staff</w:t>
      </w:r>
    </w:p>
    <w:p>
      <w:pPr>
        <w:pStyle w:val="Body"/>
        <w:jc w:val="center"/>
        <w:rPr>
          <w:color w:val="auto"/>
        </w:rPr>
      </w:pPr>
      <w:r>
        <w:rPr>
          <w:color w:val="auto"/>
        </w:rPr>
      </w:r>
    </w:p>
    <w:p>
      <w:pPr>
        <w:pStyle w:val="Body"/>
        <w:ind w:start="0" w:end="0"/>
        <w:rPr/>
      </w:pPr>
      <w:r>
        <w:rPr>
          <w:color w:val="auto"/>
        </w:rPr>
        <w:t>Following the AOI meeting, Ponn, Branch, and our team met with OPUC staff.   As with AOI and ICNU the meeting was constructive and positive.  We discussed our intent to provide an application, testimony and early access to information (subject, where appropriate to a “super” protective order).   Staff will likely support a “super” protective order, which can be used to exclude certain persons from reviewing materials (</w:t>
      </w:r>
      <w:r>
        <w:rPr>
          <w:i/>
          <w:color w:val="auto"/>
        </w:rPr>
        <w:t>e.g.</w:t>
      </w:r>
      <w:r>
        <w:rPr>
          <w:color w:val="auto"/>
        </w:rPr>
        <w:t xml:space="preserve">, the persons gaining access to confidential information can be limited to outside counsel and consultants).  </w:t>
      </w:r>
    </w:p>
    <w:p>
      <w:pPr>
        <w:pStyle w:val="Body"/>
        <w:ind w:start="0" w:end="0"/>
        <w:rPr>
          <w:color w:val="auto"/>
        </w:rPr>
      </w:pPr>
      <w:r>
        <w:rPr>
          <w:color w:val="auto"/>
        </w:rPr>
      </w:r>
    </w:p>
    <w:p>
      <w:pPr>
        <w:pStyle w:val="Body"/>
        <w:ind w:start="0" w:end="0"/>
        <w:rPr>
          <w:color w:val="auto"/>
        </w:rPr>
      </w:pPr>
      <w:r>
        <w:rPr>
          <w:color w:val="auto"/>
        </w:rPr>
        <w:t>We discussed the following matters with staff:</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asked whether we would ask the OPUC to apply a “no-harm” standard—in contrast to a “net benefits” standard.  Staff appears to prefer an approach where the standard is not litigated, but net benefits are proven.</w:t>
      </w:r>
    </w:p>
    <w:p>
      <w:pPr>
        <w:pStyle w:val="Body"/>
        <w:ind w:start="72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suggested that conditions in the Enron merger be “tightened up.”</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asked whether there were incremental financial benefits.</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suggested that the applicants address the allocation of costs and benefits between the companies.</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asked about Sierra’s financial strength to complete the transaction.  In this regard, Staff asked whether there would be combined or separate debt ratings for the post-merger companies.</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Staff asked where the “value” was to Sierra in the transaction.</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We discussed the notion that a standard has not been developed for rate reductions.</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We discussed whether there were incremental risks to customers as a result of this acquisition.   Staff clearly perceived there were risks to customers in the Enron acquisition of PGE.</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We discussed the timing of Sierra’s acquisition of PGE (</w:t>
      </w:r>
      <w:r>
        <w:rPr>
          <w:i/>
          <w:color w:val="auto"/>
        </w:rPr>
        <w:t>i.e.</w:t>
      </w:r>
      <w:r>
        <w:rPr>
          <w:color w:val="auto"/>
        </w:rPr>
        <w:t>, relative to Enron’s acquisition of PGE).</w:t>
      </w:r>
    </w:p>
    <w:p>
      <w:pPr>
        <w:pStyle w:val="Body"/>
        <w:ind w:start="0" w:end="0"/>
        <w:rPr>
          <w:color w:val="auto"/>
        </w:rPr>
      </w:pPr>
      <w:r>
        <w:rPr>
          <w:color w:val="auto"/>
        </w:rPr>
      </w:r>
    </w:p>
    <w:p>
      <w:pPr>
        <w:pStyle w:val="Body"/>
        <w:numPr>
          <w:ilvl w:val="0"/>
          <w:numId w:val="3"/>
        </w:numPr>
        <w:tabs>
          <w:tab w:val="left" w:pos="1080" w:leader="none"/>
        </w:tabs>
        <w:ind w:hanging="360" w:start="1080" w:end="0"/>
        <w:rPr>
          <w:color w:val="auto"/>
        </w:rPr>
      </w:pPr>
      <w:r>
        <w:rPr>
          <w:color w:val="auto"/>
        </w:rPr>
        <w:t>We discussed the need to address transmission reliability and access.</w:t>
      </w:r>
    </w:p>
    <w:p>
      <w:pPr>
        <w:pStyle w:val="Body"/>
        <w:ind w:start="0" w:end="0"/>
        <w:rPr>
          <w:color w:val="auto"/>
        </w:rPr>
      </w:pPr>
      <w:r>
        <w:rPr>
          <w:color w:val="auto"/>
        </w:rPr>
      </w:r>
    </w:p>
    <w:p>
      <w:pPr>
        <w:pStyle w:val="Body"/>
        <w:rPr>
          <w:color w:val="auto"/>
        </w:rPr>
      </w:pPr>
      <w:r>
        <w:rPr>
          <w:color w:val="auto"/>
        </w:rPr>
        <w:t xml:space="preserve">As with ICNU and AOI we offered a follow-up meeting with staff before filing the application with the OPUC.  </w:t>
      </w:r>
    </w:p>
    <w:p>
      <w:pPr>
        <w:pStyle w:val="Body"/>
        <w:rPr>
          <w:color w:val="auto"/>
        </w:rPr>
      </w:pPr>
      <w:r>
        <w:rPr>
          <w:color w:val="auto"/>
        </w:rPr>
      </w:r>
    </w:p>
    <w:p>
      <w:pPr>
        <w:pStyle w:val="Body"/>
        <w:jc w:val="center"/>
        <w:rPr>
          <w:color w:val="auto"/>
        </w:rPr>
      </w:pPr>
      <w:r>
        <w:rPr>
          <w:color w:val="auto"/>
        </w:rPr>
        <w:t>Nevada</w:t>
      </w:r>
    </w:p>
    <w:p>
      <w:pPr>
        <w:pStyle w:val="Body"/>
        <w:jc w:val="center"/>
        <w:rPr>
          <w:color w:val="auto"/>
        </w:rPr>
      </w:pPr>
      <w:r>
        <w:rPr>
          <w:color w:val="auto"/>
        </w:rPr>
      </w:r>
    </w:p>
    <w:p>
      <w:pPr>
        <w:pStyle w:val="Body"/>
        <w:rPr>
          <w:color w:val="auto"/>
        </w:rPr>
      </w:pPr>
      <w:r>
        <w:rPr>
          <w:color w:val="auto"/>
        </w:rPr>
        <w:t xml:space="preserve">On Tuesday, Nevada Governor Guinn appointed Dr. Richard McIntire (PhD) as the third PUCN commissioner.  Several years ago, McIntire was the Nevada commission’s “deputy commissioner.”  After the legislature reformed the commission in 1997, McIntire moved to the Consumer Advocate’s office as the chief economist.  McIntire rejoined the PUC earlier this year as the Director of Regulatory Operations (DRO) when Don Soderberg was appointed PUC chair.  McIntire and Soderberg are close personal friends.   </w:t>
      </w:r>
    </w:p>
    <w:p>
      <w:pPr>
        <w:pStyle w:val="Body"/>
        <w:rPr>
          <w:color w:val="auto"/>
        </w:rPr>
      </w:pPr>
      <w:r>
        <w:rPr>
          <w:color w:val="auto"/>
        </w:rPr>
      </w:r>
    </w:p>
    <w:p>
      <w:pPr>
        <w:pStyle w:val="Body"/>
        <w:rPr>
          <w:color w:val="auto"/>
        </w:rPr>
      </w:pPr>
      <w:r>
        <w:rPr>
          <w:color w:val="auto"/>
        </w:rPr>
        <w:t xml:space="preserve">We met with McIntire in his capacity as DRO prior to the formal announcement of Sierra’s acquisition.  At that time, McIntire indicated support for an expedited PUC review process.  </w:t>
      </w:r>
    </w:p>
    <w:p>
      <w:pPr>
        <w:pStyle w:val="Body"/>
        <w:rPr>
          <w:color w:val="auto"/>
        </w:rPr>
      </w:pPr>
      <w:r>
        <w:rPr>
          <w:color w:val="auto"/>
        </w:rPr>
      </w:r>
    </w:p>
    <w:p>
      <w:pPr>
        <w:pStyle w:val="Body"/>
        <w:rPr>
          <w:color w:val="auto"/>
        </w:rPr>
      </w:pPr>
      <w:r>
        <w:rPr>
          <w:color w:val="auto"/>
        </w:rPr>
        <w:t>We are researching whether McIntire’s former employment will preclude him from participating in certain proceedings before the PUCN.</w:t>
      </w:r>
    </w:p>
    <w:p>
      <w:pPr>
        <w:pStyle w:val="Body"/>
        <w:rPr>
          <w:color w:val="auto"/>
        </w:rPr>
      </w:pPr>
      <w:r>
        <w:rPr>
          <w:color w:val="auto"/>
        </w:rPr>
      </w:r>
    </w:p>
    <w:p>
      <w:pPr>
        <w:pStyle w:val="Body"/>
        <w:jc w:val="center"/>
        <w:rPr>
          <w:color w:val="auto"/>
        </w:rPr>
      </w:pPr>
      <w:r>
        <w:rPr>
          <w:color w:val="auto"/>
        </w:rPr>
        <w:t>Local Counsel</w:t>
      </w:r>
    </w:p>
    <w:p>
      <w:pPr>
        <w:pStyle w:val="Body"/>
        <w:jc w:val="center"/>
        <w:rPr>
          <w:color w:val="auto"/>
        </w:rPr>
      </w:pPr>
      <w:r>
        <w:rPr>
          <w:color w:val="auto"/>
        </w:rPr>
      </w:r>
    </w:p>
    <w:p>
      <w:pPr>
        <w:pStyle w:val="Body"/>
        <w:rPr>
          <w:color w:val="auto"/>
        </w:rPr>
      </w:pPr>
      <w:r>
        <w:rPr>
          <w:color w:val="auto"/>
        </w:rPr>
        <w:t xml:space="preserve">It appears that Sierra will hire local counsel for the purposes of its Oregon application.  We understand that Sierra’s General Counsel will be in Portland following the Thanksgiving weekend to interview potential candidates.  </w:t>
      </w:r>
    </w:p>
    <w:p>
      <w:pPr>
        <w:pStyle w:val="Body"/>
        <w:ind w:start="0" w:end="0"/>
        <w:rPr>
          <w:color w:val="auto"/>
        </w:rPr>
      </w:pPr>
      <w:r>
        <w:rPr>
          <w:color w:val="auto"/>
        </w:rPr>
      </w:r>
    </w:p>
    <w:p>
      <w:pPr>
        <w:pStyle w:val="Body"/>
        <w:ind w:start="0" w:end="0"/>
        <w:jc w:val="center"/>
        <w:rPr>
          <w:color w:val="auto"/>
        </w:rPr>
      </w:pPr>
      <w:r>
        <w:rPr>
          <w:color w:val="auto"/>
        </w:rPr>
        <w:t>^^^</w:t>
      </w:r>
    </w:p>
    <w:p>
      <w:pPr>
        <w:pStyle w:val="Body"/>
        <w:ind w:start="0" w:end="0"/>
        <w:jc w:val="center"/>
        <w:rPr>
          <w:color w:val="auto"/>
        </w:rPr>
      </w:pPr>
      <w:r>
        <w:rPr>
          <w:color w:val="auto"/>
        </w:rPr>
      </w:r>
    </w:p>
    <w:p>
      <w:pPr>
        <w:pStyle w:val="Body"/>
        <w:ind w:start="0" w:end="0"/>
        <w:rPr>
          <w:color w:val="auto"/>
        </w:rPr>
      </w:pPr>
      <w:r>
        <w:rPr>
          <w:color w:val="auto"/>
        </w:rPr>
        <w:t>Please contact me if you need any clarification of the above discussion.</w:t>
      </w:r>
    </w:p>
    <w:p>
      <w:pPr>
        <w:pStyle w:val="Department"/>
        <w:rPr>
          <w:color w:val="auto"/>
        </w:rPr>
      </w:pPr>
      <w:r>
        <w:rPr>
          <w:color w:val="auto"/>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1999-11-24T15:14:00Z</dcterms:created>
  <dc:creator>Jeff Ford</dc:creator>
  <dc:description/>
  <dc:language>en-CA</dc:language>
  <cp:lastModifiedBy>Paul Kaufman</cp:lastModifiedBy>
  <cp:lastPrinted>1999-06-30T05:59:00Z</cp:lastPrinted>
  <dcterms:modified xsi:type="dcterms:W3CDTF">1999-11-24T15:14:00Z</dcterms:modified>
  <cp:revision>3</cp:revision>
  <dc:subject>Comments on Load Forecasting/Data Requirements Proposed Regulations</dc:subject>
  <dc:title>Eron Capital &amp; Trade Resources Memo</dc:title>
</cp:coreProperties>
</file>