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spacing w:lineRule="auto" w:line="240"/>
        <w:jc w:val="center"/>
        <w:rPr>
          <w:rFonts w:ascii="CG Times" w:hAnsi="CG Times" w:cs="CG Times"/>
          <w:b/>
          <w:sz w:val="26"/>
        </w:rPr>
      </w:pPr>
      <w:r>
        <w:rPr>
          <w:rFonts w:cs="CG Times" w:ascii="CG Times" w:hAnsi="CG Times"/>
          <w:b/>
          <w:smallCaps/>
          <w:sz w:val="26"/>
        </w:rPr>
        <w:t>legal certainty for bank products act</w:t>
      </w:r>
    </w:p>
    <w:p>
      <w:pPr>
        <w:pStyle w:val="Normal"/>
        <w:widowControl/>
        <w:spacing w:lineRule="auto" w:line="240"/>
        <w:jc w:val="center"/>
        <w:rPr>
          <w:rFonts w:ascii="CG Times" w:hAnsi="CG Times" w:cs="CG Times"/>
          <w:b/>
          <w:sz w:val="26"/>
        </w:rPr>
      </w:pPr>
      <w:r>
        <w:rPr>
          <w:rFonts w:cs="CG Times" w:ascii="CG Times" w:hAnsi="CG Times"/>
          <w:b/>
          <w:sz w:val="26"/>
        </w:rPr>
        <w:t>DRAFT of 12/6/00 10:00 pm</w:t>
      </w:r>
    </w:p>
    <w:p>
      <w:pPr>
        <w:pStyle w:val="Normal"/>
        <w:widowControl/>
        <w:spacing w:lineRule="auto" w:line="240"/>
        <w:jc w:val="center"/>
        <w:rPr>
          <w:rFonts w:ascii="CG Times" w:hAnsi="CG Times" w:cs="CG Times"/>
          <w:b/>
          <w:sz w:val="26"/>
        </w:rPr>
      </w:pPr>
      <w:r>
        <w:rPr>
          <w:rFonts w:cs="CG Times" w:ascii="CG Times" w:hAnsi="CG Times"/>
          <w:b/>
          <w:sz w:val="26"/>
        </w:rPr>
      </w:r>
    </w:p>
    <w:p>
      <w:pPr>
        <w:pStyle w:val="Normal"/>
        <w:widowControl/>
        <w:spacing w:lineRule="auto" w:line="240"/>
        <w:jc w:val="center"/>
        <w:rPr>
          <w:rFonts w:ascii="CG Times" w:hAnsi="CG Times" w:cs="CG Times"/>
          <w:b/>
          <w:sz w:val="26"/>
        </w:rPr>
      </w:pPr>
      <w:r>
        <w:rPr>
          <w:rFonts w:cs="CG Times" w:ascii="CG Times" w:hAnsi="CG Times"/>
          <w:b/>
          <w:sz w:val="26"/>
        </w:rPr>
      </w:r>
    </w:p>
    <w:p>
      <w:pPr>
        <w:pStyle w:val="Normal"/>
        <w:widowControl/>
        <w:spacing w:lineRule="auto" w:line="240"/>
        <w:rPr>
          <w:rFonts w:ascii="CG Times" w:hAnsi="CG Times" w:cs="CG Times"/>
          <w:sz w:val="26"/>
        </w:rPr>
      </w:pPr>
      <w:r>
        <w:rPr>
          <w:rFonts w:cs="CG Times" w:ascii="CG Times" w:hAnsi="CG Times"/>
          <w:sz w:val="26"/>
        </w:rPr>
        <w:t>At the end of the bill, add the following new title:</w:t>
      </w:r>
    </w:p>
    <w:p>
      <w:pPr>
        <w:pStyle w:val="Normal"/>
        <w:widowControl/>
        <w:spacing w:lineRule="auto" w:line="240"/>
        <w:rPr>
          <w:rFonts w:ascii="CG Times" w:hAnsi="CG Times" w:cs="CG Times"/>
          <w:sz w:val="26"/>
        </w:rPr>
      </w:pPr>
      <w:r>
        <w:rPr>
          <w:rFonts w:cs="CG Times" w:ascii="CG Times" w:hAnsi="CG Times"/>
          <w:sz w:val="26"/>
        </w:rPr>
      </w:r>
    </w:p>
    <w:p>
      <w:pPr>
        <w:pStyle w:val="Normal"/>
        <w:widowControl/>
        <w:spacing w:lineRule="auto" w:line="240"/>
        <w:jc w:val="center"/>
        <w:rPr>
          <w:rFonts w:ascii="CG Times" w:hAnsi="CG Times" w:cs="CG Times"/>
          <w:b/>
          <w:sz w:val="26"/>
        </w:rPr>
      </w:pPr>
      <w:r>
        <w:rPr>
          <w:rFonts w:cs="CG Times" w:ascii="CG Times" w:hAnsi="CG Times"/>
          <w:b/>
          <w:sz w:val="26"/>
        </w:rPr>
        <w:t>TITLE IV – REGULATORY RESPONSIBILITY FOR BANK PRODUCTS</w:t>
      </w:r>
    </w:p>
    <w:p>
      <w:pPr>
        <w:pStyle w:val="Normal"/>
        <w:widowControl/>
        <w:spacing w:lineRule="auto" w:line="240"/>
        <w:jc w:val="center"/>
        <w:rPr>
          <w:rFonts w:ascii="CG Times" w:hAnsi="CG Times" w:cs="CG Times"/>
          <w:b/>
          <w:sz w:val="26"/>
        </w:rPr>
      </w:pPr>
      <w:r>
        <w:rPr>
          <w:rFonts w:cs="CG Times" w:ascii="CG Times" w:hAnsi="CG Times"/>
          <w:b/>
          <w:sz w:val="26"/>
        </w:rPr>
      </w:r>
    </w:p>
    <w:p>
      <w:pPr>
        <w:pStyle w:val="Normal"/>
        <w:widowControl/>
        <w:spacing w:lineRule="auto" w:line="437"/>
        <w:jc w:val="both"/>
        <w:rPr>
          <w:rFonts w:ascii="CG Times" w:hAnsi="CG Times" w:cs="CG Times"/>
          <w:sz w:val="26"/>
        </w:rPr>
      </w:pPr>
      <w:r>
        <w:rPr>
          <w:rFonts w:cs="CG Times" w:ascii="CG Times" w:hAnsi="CG Times"/>
          <w:b/>
          <w:smallCaps/>
          <w:sz w:val="26"/>
        </w:rPr>
        <w:t>sec. 401.  short title.</w:t>
      </w:r>
    </w:p>
    <w:p>
      <w:pPr>
        <w:pStyle w:val="Normal"/>
        <w:widowControl/>
        <w:spacing w:lineRule="auto" w:line="437"/>
        <w:ind w:firstLine="720" w:end="0"/>
        <w:jc w:val="both"/>
        <w:rPr>
          <w:rFonts w:ascii="CG Times" w:hAnsi="CG Times" w:cs="CG Times"/>
          <w:b/>
          <w:smallCaps/>
          <w:sz w:val="26"/>
        </w:rPr>
      </w:pPr>
      <w:r>
        <w:rPr>
          <w:rFonts w:cs="CG Times" w:ascii="CG Times" w:hAnsi="CG Times"/>
          <w:sz w:val="26"/>
        </w:rPr>
        <w:t>This title may be cited as the “Legal Certainty for Bank Products Act of 2000.”</w:t>
      </w:r>
    </w:p>
    <w:p>
      <w:pPr>
        <w:pStyle w:val="Normal"/>
        <w:widowControl/>
        <w:spacing w:lineRule="auto" w:line="437"/>
        <w:jc w:val="both"/>
        <w:rPr>
          <w:rFonts w:ascii="CG Times" w:hAnsi="CG Times" w:cs="CG Times"/>
          <w:b/>
          <w:sz w:val="26"/>
        </w:rPr>
      </w:pPr>
      <w:r>
        <w:rPr>
          <w:rFonts w:cs="CG Times" w:ascii="CG Times" w:hAnsi="CG Times"/>
          <w:b/>
          <w:smallCaps/>
          <w:sz w:val="26"/>
        </w:rPr>
        <w:t>sec.  402.  definition of bank.</w:t>
      </w:r>
    </w:p>
    <w:p>
      <w:pPr>
        <w:pStyle w:val="Normal"/>
        <w:widowControl/>
        <w:spacing w:lineRule="auto" w:line="437"/>
        <w:ind w:firstLine="720" w:end="0"/>
        <w:jc w:val="both"/>
        <w:rPr>
          <w:rFonts w:ascii="CG Times" w:hAnsi="CG Times" w:cs="CG Times"/>
          <w:b/>
          <w:sz w:val="26"/>
        </w:rPr>
      </w:pPr>
      <w:r>
        <w:rPr>
          <w:rFonts w:cs="CG Times" w:ascii="CG Times" w:hAnsi="CG Times"/>
          <w:sz w:val="26"/>
        </w:rPr>
        <w:t>As used in this title the term “bank” shall mean any depository institution (as defined in section 3(c) of the Federal Deposit Insurance Act), foreign bank or branch or agency of a foreign bank(each as defined in section 1(b) of the International Banking Act of 1978), Federal or State credit union (as defined in section 101 of the Federal Credit Union Act), corporation organized under section 25A of the Federal Reserve Act, corporation operating under section 25 of such Act, trust company, or subsidiary of any such persons,(individually or collectively referred to hereinafter as a “bank” or “banks,” respectively).</w:t>
      </w:r>
    </w:p>
    <w:p>
      <w:pPr>
        <w:pStyle w:val="Normal"/>
        <w:widowControl/>
        <w:rPr>
          <w:rFonts w:ascii="CG Times" w:hAnsi="CG Times" w:cs="CG Times"/>
          <w:b/>
        </w:rPr>
      </w:pPr>
      <w:r>
        <w:rPr>
          <w:rFonts w:cs="CG Times" w:ascii="CG Times" w:hAnsi="CG Times"/>
          <w:b/>
          <w:smallCaps/>
          <w:sz w:val="26"/>
        </w:rPr>
        <w:t>sec. 403. exclusion for existing identified banking products.</w:t>
      </w:r>
    </w:p>
    <w:p>
      <w:pPr>
        <w:pStyle w:val="Normal"/>
        <w:widowControl/>
        <w:rPr>
          <w:rFonts w:ascii="CG Times" w:hAnsi="CG Times" w:cs="CG Times"/>
          <w:b/>
        </w:rPr>
      </w:pPr>
      <w:r>
        <w:rPr>
          <w:rFonts w:cs="CG Times" w:ascii="CG Times" w:hAnsi="CG Times"/>
          <w:b/>
        </w:rPr>
      </w:r>
    </w:p>
    <w:p>
      <w:pPr>
        <w:sectPr>
          <w:headerReference w:type="default" r:id="rId2"/>
          <w:footerReference w:type="default" r:id="rId3"/>
          <w:type w:val="nextPage"/>
          <w:pgSz w:w="12240" w:h="15840"/>
          <w:pgMar w:left="1296" w:right="1296" w:gutter="0" w:header="906" w:top="962" w:footer="1296" w:bottom="1352"/>
          <w:pgNumType w:fmt="decimal"/>
          <w:formProt w:val="false"/>
          <w:textDirection w:val="lrTb"/>
          <w:docGrid w:type="default" w:linePitch="360" w:charSpace="0"/>
        </w:sectPr>
      </w:pPr>
    </w:p>
    <w:p>
      <w:pPr>
        <w:pStyle w:val="Normal"/>
        <w:widowControl/>
        <w:spacing w:lineRule="auto" w:line="437"/>
        <w:ind w:firstLine="720" w:end="0"/>
        <w:jc w:val="both"/>
        <w:rPr/>
      </w:pPr>
      <w:r>
        <w:rPr>
          <w:rFonts w:cs="CG Times" w:ascii="CG Times" w:hAnsi="CG Times"/>
          <w:sz w:val="26"/>
        </w:rPr>
        <w:t xml:space="preserve">(a) </w:t>
      </w:r>
      <w:r>
        <w:rPr>
          <w:rFonts w:cs="CG Times" w:ascii="CG Times" w:hAnsi="CG Times"/>
          <w:smallCaps/>
          <w:sz w:val="26"/>
        </w:rPr>
        <w:t>In General</w:t>
      </w:r>
      <w:r>
        <w:rPr>
          <w:rFonts w:cs="CG Times" w:ascii="CG Times" w:hAnsi="CG Times"/>
          <w:sz w:val="26"/>
        </w:rPr>
        <w:t xml:space="preserve">.—No provision of the Commodity Exchange Act shall apply to, and the Commodity Futures Trading Commission shall not regulate or otherwise exert regulatory authority with respect to, any identified banking product (as defined in Section 206 of the Gramm-Leach-Bliley Act) if such product has been offered, bought or sold by any bank under appropriate banking law on or before December 5, 2000. </w:t>
      </w:r>
    </w:p>
    <w:p>
      <w:pPr>
        <w:pStyle w:val="Normal"/>
        <w:widowControl/>
        <w:spacing w:lineRule="auto" w:line="437"/>
        <w:ind w:firstLine="720" w:end="0"/>
        <w:jc w:val="both"/>
        <w:rPr/>
      </w:pPr>
      <w:r>
        <w:rPr>
          <w:rFonts w:cs="CG Times" w:ascii="CG Times" w:hAnsi="CG Times"/>
          <w:sz w:val="26"/>
        </w:rPr>
        <w:t xml:space="preserve">(b) </w:t>
      </w:r>
      <w:r>
        <w:rPr>
          <w:rFonts w:cs="CG Times" w:ascii="CG Times" w:hAnsi="CG Times"/>
          <w:smallCaps/>
          <w:sz w:val="26"/>
        </w:rPr>
        <w:t>Definition</w:t>
      </w:r>
      <w:r>
        <w:rPr>
          <w:rFonts w:cs="CG Times" w:ascii="CG Times" w:hAnsi="CG Times"/>
          <w:sz w:val="26"/>
        </w:rPr>
        <w:t>.— Section 206(a) of the Gramm-Leach-Bliley Act is amended by inserting “and the Legal Certainty for Banking Products Act of 2000” after “(4), (5))”.</w:t>
      </w:r>
    </w:p>
    <w:p>
      <w:pPr>
        <w:pStyle w:val="Normal"/>
        <w:widowControl/>
        <w:spacing w:lineRule="auto" w:line="437"/>
        <w:jc w:val="both"/>
        <w:rPr>
          <w:rFonts w:ascii="CG Times" w:hAnsi="CG Times" w:cs="CG Times"/>
          <w:sz w:val="26"/>
        </w:rPr>
      </w:pPr>
      <w:r>
        <w:rPr>
          <w:rFonts w:cs="CG Times" w:ascii="CG Times" w:hAnsi="CG Times"/>
          <w:b/>
          <w:smallCaps/>
          <w:sz w:val="26"/>
        </w:rPr>
        <w:t>sec. 404. other exclusions and exemptions.</w:t>
      </w:r>
    </w:p>
    <w:p>
      <w:pPr>
        <w:pStyle w:val="Normal"/>
        <w:widowControl/>
        <w:spacing w:lineRule="auto" w:line="437"/>
        <w:ind w:firstLine="720" w:end="0"/>
        <w:jc w:val="both"/>
        <w:rPr>
          <w:rFonts w:ascii="CG Times" w:hAnsi="CG Times" w:cs="CG Times"/>
          <w:sz w:val="26"/>
        </w:rPr>
      </w:pPr>
      <w:r>
        <w:rPr>
          <w:rFonts w:cs="CG Times" w:ascii="CG Times" w:hAnsi="CG Times"/>
          <w:sz w:val="26"/>
        </w:rPr>
        <w:t xml:space="preserve">To the extent that any provision of the Commodity Exchange Act or the Commodity Futures Modernization Act of 2000 provides for or authorizes an exclusion or exemption from the jurisdiction of the Commodity Futures Trading Commission, that exclusion or exemption shall apply, consistent with its terms, to any account, agreement, contract, transaction, product, or service offered, entered into or provided by a bank. </w:t>
      </w:r>
    </w:p>
    <w:p>
      <w:pPr>
        <w:pStyle w:val="Normal"/>
        <w:widowControl/>
        <w:spacing w:lineRule="auto" w:line="437"/>
        <w:jc w:val="both"/>
        <w:rPr>
          <w:rFonts w:ascii="CG Times" w:hAnsi="CG Times" w:cs="CG Times"/>
          <w:sz w:val="26"/>
        </w:rPr>
      </w:pPr>
      <w:r>
        <w:rPr>
          <w:rFonts w:cs="CG Times" w:ascii="CG Times" w:hAnsi="CG Times"/>
          <w:b/>
          <w:smallCaps/>
          <w:sz w:val="26"/>
        </w:rPr>
        <w:t>sec. 405. supervision of certain new banking products.</w:t>
      </w:r>
    </w:p>
    <w:p>
      <w:pPr>
        <w:pStyle w:val="Normal"/>
        <w:widowControl/>
        <w:spacing w:lineRule="auto" w:line="437"/>
        <w:ind w:firstLine="720" w:end="0"/>
        <w:jc w:val="both"/>
        <w:rPr/>
      </w:pPr>
      <w:r>
        <w:rPr>
          <w:rFonts w:cs="CG Times" w:ascii="CG Times" w:hAnsi="CG Times"/>
          <w:sz w:val="26"/>
        </w:rPr>
        <w:t xml:space="preserve">(a) </w:t>
      </w:r>
      <w:r>
        <w:rPr>
          <w:rFonts w:cs="CG Times" w:ascii="CG Times" w:hAnsi="CG Times"/>
          <w:smallCaps/>
          <w:sz w:val="26"/>
        </w:rPr>
        <w:t>In General.</w:t>
      </w:r>
      <w:r>
        <w:rPr>
          <w:rFonts w:cs="CG Times" w:ascii="CG Times" w:hAnsi="CG Times"/>
          <w:sz w:val="26"/>
        </w:rPr>
        <w:t>–No provision of the Commodity Exchange Act shall apply to, and the Commodity Futures Trading Commission is prohibited from regulating or otherwise exerting regulatory authority with respect to any new banking product, unless the Commission determines, by or under a rule issued in accordance with this section, that–</w:t>
      </w:r>
    </w:p>
    <w:p>
      <w:pPr>
        <w:pStyle w:val="Normal"/>
        <w:widowControl/>
        <w:tabs>
          <w:tab w:val="clear" w:pos="720"/>
          <w:tab w:val="left" w:pos="1814" w:leader="none"/>
          <w:tab w:val="left" w:pos="2159" w:leader="none"/>
          <w:tab w:val="left" w:pos="2879" w:leader="none"/>
          <w:tab w:val="left" w:pos="3599" w:leader="none"/>
          <w:tab w:val="left" w:pos="4319" w:leader="none"/>
          <w:tab w:val="left" w:pos="5039" w:leader="none"/>
          <w:tab w:val="left" w:pos="5759" w:leader="none"/>
          <w:tab w:val="left" w:pos="6479" w:leader="none"/>
          <w:tab w:val="left" w:pos="7199" w:leader="none"/>
          <w:tab w:val="left" w:pos="7919" w:leader="none"/>
          <w:tab w:val="left" w:pos="8639" w:leader="none"/>
          <w:tab w:val="left" w:pos="9359" w:leader="none"/>
        </w:tabs>
        <w:spacing w:lineRule="auto" w:line="437"/>
        <w:ind w:hanging="374" w:start="1814" w:end="0"/>
        <w:jc w:val="both"/>
        <w:rPr/>
      </w:pPr>
      <w:r>
        <w:rPr>
          <w:rFonts w:cs="CG Times" w:ascii="CG Times" w:hAnsi="CG Times"/>
          <w:sz w:val="26"/>
        </w:rPr>
        <w:t>(</w:t>
      </w:r>
      <w:r>
        <w:rPr>
          <w:rFonts w:cs="CG Times" w:ascii="CG Times" w:hAnsi="CG Times"/>
          <w:sz w:val="26"/>
        </w:rPr>
        <w:fldChar w:fldCharType="begin"/>
      </w:r>
      <w:r>
        <w:rPr>
          <w:sz w:val="26"/>
          <w:rFonts w:cs="CG Times" w:ascii="CG Times" w:hAnsi="CG Times"/>
        </w:rPr>
        <w:instrText xml:space="preserve"> SEQ 2_0 \* ARABIC </w:instrText>
      </w:r>
      <w:r>
        <w:rPr>
          <w:sz w:val="26"/>
          <w:rFonts w:cs="CG Times" w:ascii="CG Times" w:hAnsi="CG Times"/>
        </w:rPr>
        <w:fldChar w:fldCharType="separate"/>
      </w:r>
      <w:r>
        <w:rPr>
          <w:sz w:val="26"/>
          <w:rFonts w:cs="CG Times" w:ascii="CG Times" w:hAnsi="CG Times"/>
        </w:rPr>
        <w:t>1</w:t>
      </w:r>
      <w:r>
        <w:rPr>
          <w:sz w:val="26"/>
          <w:rFonts w:cs="CG Times" w:ascii="CG Times" w:hAnsi="CG Times"/>
        </w:rPr>
        <w:fldChar w:fldCharType="end"/>
      </w:r>
      <w:r>
        <w:rPr>
          <w:rFonts w:cs="CG Times" w:ascii="CG Times" w:hAnsi="CG Times"/>
          <w:sz w:val="26"/>
        </w:rPr>
        <w:t>)</w:t>
        <w:tab/>
        <w:t>such action is necessary and appropriate in the public interest;</w:t>
      </w:r>
    </w:p>
    <w:p>
      <w:pPr>
        <w:pStyle w:val="BodyTextIn"/>
        <w:widowControl/>
        <w:tabs>
          <w:tab w:val="clear" w:pos="0"/>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 xml:space="preserve">(2) such action is consistent with the Commodity Exchange Act and its purposes; and </w:t>
      </w:r>
    </w:p>
    <w:p>
      <w:pPr>
        <w:pStyle w:val="Normal"/>
        <w:widowControl/>
        <w:tabs>
          <w:tab w:val="clear" w:pos="720"/>
          <w:tab w:val="left" w:pos="2534" w:leader="none"/>
          <w:tab w:val="left" w:pos="2879" w:leader="none"/>
          <w:tab w:val="left" w:pos="3599" w:leader="none"/>
          <w:tab w:val="left" w:pos="4319" w:leader="none"/>
          <w:tab w:val="left" w:pos="5039" w:leader="none"/>
          <w:tab w:val="left" w:pos="5759" w:leader="none"/>
          <w:tab w:val="left" w:pos="6479" w:leader="none"/>
          <w:tab w:val="left" w:pos="7199" w:leader="none"/>
          <w:tab w:val="left" w:pos="7919" w:leader="none"/>
          <w:tab w:val="left" w:pos="8639" w:leader="none"/>
          <w:tab w:val="left" w:pos="9359" w:leader="none"/>
        </w:tabs>
        <w:spacing w:lineRule="auto" w:line="437"/>
        <w:ind w:firstLine="720" w:start="720" w:end="0"/>
        <w:jc w:val="both"/>
        <w:rPr>
          <w:rFonts w:ascii="CG Times" w:hAnsi="CG Times" w:cs="CG Times"/>
          <w:sz w:val="26"/>
        </w:rPr>
      </w:pPr>
      <w:r>
        <w:rPr>
          <w:rFonts w:cs="CG Times" w:ascii="CG Times" w:hAnsi="CG Times"/>
          <w:sz w:val="26"/>
        </w:rPr>
        <w:t>(3) such new banking product is a contract of sale of a commodity for future delivery (or an option thereon), or an option on a commodity.</w:t>
      </w:r>
    </w:p>
    <w:p>
      <w:pPr>
        <w:sectPr>
          <w:type w:val="continuous"/>
          <w:pgSz w:w="12240" w:h="15840"/>
          <w:pgMar w:left="1296" w:right="1296" w:gutter="0" w:header="906" w:top="962" w:footer="1296" w:bottom="1352"/>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37"/>
        <w:ind w:firstLine="720" w:end="0"/>
        <w:jc w:val="both"/>
        <w:rPr/>
      </w:pPr>
      <w:r>
        <w:rPr>
          <w:rFonts w:cs="CG Times" w:ascii="CG Times" w:hAnsi="CG Times"/>
          <w:sz w:val="26"/>
        </w:rPr>
        <w:t>(b)</w:t>
      </w:r>
      <w:r>
        <w:rPr>
          <w:rFonts w:cs="CG Times" w:ascii="CG Times" w:hAnsi="CG Times"/>
          <w:smallCaps/>
          <w:sz w:val="26"/>
        </w:rPr>
        <w:t xml:space="preserve"> Consultation.</w:t>
      </w:r>
      <w:r>
        <w:rPr>
          <w:rFonts w:cs="CG Times" w:ascii="CG Times" w:hAnsi="CG Times"/>
          <w:sz w:val="26"/>
        </w:rPr>
        <w:t>– Prior to commencing a rulemaking, or making a determination pursuant to a rule issued, under this title the Commodity Futures Trading Commission shall consult with and seek the concurrence of the Board of Governors of the Federal Reserve System concerning–</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37"/>
        <w:ind w:firstLine="720" w:start="720" w:end="0"/>
        <w:jc w:val="both"/>
        <w:rPr>
          <w:rFonts w:ascii="CG Times" w:hAnsi="CG Times" w:cs="CG Times"/>
          <w:sz w:val="26"/>
        </w:rPr>
      </w:pPr>
      <w:r>
        <w:rPr>
          <w:rFonts w:cs="CG Times" w:ascii="CG Times" w:hAnsi="CG Times"/>
          <w:sz w:val="26"/>
        </w:rPr>
        <w:t>(1) the nature of the new banking product; and</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37"/>
        <w:ind w:firstLine="720" w:start="720" w:end="0"/>
        <w:jc w:val="both"/>
        <w:rPr>
          <w:rFonts w:ascii="CG Times" w:hAnsi="CG Times" w:cs="CG Times"/>
          <w:sz w:val="26"/>
        </w:rPr>
      </w:pPr>
      <w:r>
        <w:rPr>
          <w:rFonts w:cs="CG Times" w:ascii="CG Times" w:hAnsi="CG Times"/>
          <w:sz w:val="26"/>
        </w:rPr>
        <w:t xml:space="preserve">(2) the history, purpose, extent, and appropriateness of the regulation of the new banking product under the Commodity Exchange Act and under appropriate banking laws.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37"/>
        <w:ind w:firstLine="720" w:end="0"/>
        <w:jc w:val="both"/>
        <w:rPr>
          <w:rFonts w:ascii="CG Times" w:hAnsi="CG Times" w:cs="CG Times"/>
          <w:sz w:val="26"/>
        </w:rPr>
      </w:pPr>
      <w:r>
        <w:rPr>
          <w:rFonts w:cs="CG Times" w:ascii="CG Times" w:hAnsi="CG Times"/>
          <w:sz w:val="26"/>
        </w:rPr>
        <w:t>(c)</w:t>
      </w:r>
      <w:r>
        <w:rPr>
          <w:rFonts w:cs="CG Times" w:ascii="CG Times" w:hAnsi="CG Times"/>
          <w:smallCaps/>
          <w:sz w:val="26"/>
        </w:rPr>
        <w:t xml:space="preserve"> Objection to Commission Regulation.–</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37"/>
        <w:ind w:firstLine="720" w:start="720" w:end="0"/>
        <w:jc w:val="both"/>
        <w:rPr/>
      </w:pPr>
      <w:r>
        <w:rPr>
          <w:rFonts w:cs="CG Times" w:ascii="CG Times" w:hAnsi="CG Times"/>
          <w:sz w:val="26"/>
        </w:rPr>
        <w:t xml:space="preserve">(1) </w:t>
      </w:r>
      <w:r>
        <w:rPr>
          <w:rFonts w:cs="CG Times" w:ascii="CG Times" w:hAnsi="CG Times"/>
          <w:smallCaps/>
          <w:sz w:val="26"/>
        </w:rPr>
        <w:t>Filing of Petition for Review</w:t>
      </w:r>
      <w:r>
        <w:rPr>
          <w:rFonts w:cs="CG Times" w:ascii="CG Times" w:hAnsi="CG Times"/>
          <w:sz w:val="26"/>
        </w:rPr>
        <w:t>.–The Board of Governors of the Federal Reserve System may obtain review of any rule or determination referred to in subsection (a) in the United States Court of Appeals for the District of Columbia Circuit by filing in the court, not later than 60 days after the date of publication of the rule or determination, a written petition requesting that the rule or determination be set aside. Any proceeding to challenge any such rule or determination shall be expedited by the Court of Appeals.</w:t>
      </w:r>
    </w:p>
    <w:p>
      <w:pPr>
        <w:sectPr>
          <w:type w:val="continuous"/>
          <w:pgSz w:w="12240" w:h="15840"/>
          <w:pgMar w:left="1296" w:right="1296" w:gutter="0" w:header="906" w:top="962" w:footer="1296" w:bottom="1352"/>
          <w:formProt w:val="false"/>
          <w:textDirection w:val="lrTb"/>
          <w:docGrid w:type="default" w:linePitch="360" w:charSpace="0"/>
        </w:sectPr>
      </w:pP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37"/>
        <w:ind w:firstLine="720" w:start="720" w:end="0"/>
        <w:jc w:val="both"/>
        <w:rPr/>
      </w:pPr>
      <w:r>
        <w:rPr>
          <w:rFonts w:cs="CG Times" w:ascii="CG Times" w:hAnsi="CG Times"/>
          <w:sz w:val="26"/>
        </w:rPr>
        <w:t xml:space="preserve">(2) </w:t>
      </w:r>
      <w:r>
        <w:rPr>
          <w:rFonts w:cs="CG Times" w:ascii="CG Times" w:hAnsi="CG Times"/>
          <w:smallCaps/>
          <w:sz w:val="26"/>
        </w:rPr>
        <w:t>Transmittal of petition and record</w:t>
      </w:r>
      <w:r>
        <w:rPr>
          <w:rFonts w:cs="CG Times" w:ascii="CG Times" w:hAnsi="CG Times"/>
          <w:sz w:val="26"/>
        </w:rPr>
        <w:t>.–A copy of a petition described in paragraph (1) shall be transmitted as soon as possible by the Clerk of the Court to an officer or employee of the Commodity Futures Trading Commission designated for that purpose. Upon receipt of the petition, the Commission shall file with the court the rule or determination under review and any documents referred to therein, and any other relevant materials prescribed by the court.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37"/>
        <w:ind w:firstLine="720" w:start="720" w:end="0"/>
        <w:jc w:val="both"/>
        <w:rPr/>
      </w:pPr>
      <w:r>
        <w:rPr>
          <w:rFonts w:cs="CG Times" w:ascii="CG Times" w:hAnsi="CG Times"/>
          <w:sz w:val="26"/>
        </w:rPr>
        <w:t xml:space="preserve">(3) </w:t>
      </w:r>
      <w:r>
        <w:rPr>
          <w:rFonts w:cs="CG Times" w:ascii="CG Times" w:hAnsi="CG Times"/>
          <w:smallCaps/>
          <w:sz w:val="26"/>
        </w:rPr>
        <w:t>Exclusive Jurisdiction</w:t>
      </w:r>
      <w:r>
        <w:rPr>
          <w:rFonts w:cs="CG Times" w:ascii="CG Times" w:hAnsi="CG Times"/>
          <w:sz w:val="26"/>
        </w:rPr>
        <w:t>.–On the date of the filing of the petition under paragraph (1), the court has jurisdiction, which becomes exclusive on the filing of the materials set forth in paragraph (2), to affirm and enforce or to set aside the rule or determination at issue.</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37"/>
        <w:ind w:firstLine="720" w:start="720" w:end="0"/>
        <w:jc w:val="both"/>
        <w:rPr/>
      </w:pPr>
      <w:r>
        <w:rPr>
          <w:rFonts w:cs="CG Times" w:ascii="CG Times" w:hAnsi="CG Times"/>
          <w:sz w:val="26"/>
        </w:rPr>
        <w:t xml:space="preserve">(4) </w:t>
      </w:r>
      <w:r>
        <w:rPr>
          <w:rFonts w:cs="CG Times" w:ascii="CG Times" w:hAnsi="CG Times"/>
          <w:smallCaps/>
          <w:sz w:val="26"/>
        </w:rPr>
        <w:t>Standard of Review</w:t>
      </w:r>
      <w:r>
        <w:rPr>
          <w:rFonts w:cs="CG Times" w:ascii="CG Times" w:hAnsi="CG Times"/>
          <w:sz w:val="26"/>
        </w:rPr>
        <w:t>.–The court shall determine to affirm and enforce or set aside a rule or determination of the Commodity Futures Trading Commission under this section, based on the determination of the court as to whether–</w:t>
      </w:r>
    </w:p>
    <w:p>
      <w:pPr>
        <w:pStyle w:val="1"/>
        <w:widowControl/>
        <w:tabs>
          <w:tab w:val="clear" w:pos="0"/>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 the subject product is a new banking product as defined in this title;</w:t>
      </w:r>
    </w:p>
    <w:p>
      <w:pPr>
        <w:pStyle w:val="1"/>
        <w:widowControl/>
        <w:tabs>
          <w:tab w:val="clear" w:pos="0"/>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(B) the subject product is a contract of sale of a commodity for future delivery (or an option thereon), or an option on a commodity; and</w:t>
      </w:r>
    </w:p>
    <w:p>
      <w:pPr>
        <w:pStyle w:val="1"/>
        <w:widowControl/>
        <w:tabs>
          <w:tab w:val="clear" w:pos="0"/>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(C) making the provision or provisions of the Commodity Exchange Act at issue applicable to the subject instrument is appropriate in light of the history, purpose, and extent of regulation under such Act, this title, and under the appropriate banking laws, giving deference neither to the views of the Commission nor the Board of Governors of the Federal Reserve System.</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37"/>
        <w:ind w:firstLine="720" w:start="720" w:end="0"/>
        <w:jc w:val="both"/>
        <w:rPr/>
      </w:pPr>
      <w:r>
        <w:rPr>
          <w:rFonts w:cs="CG Times" w:ascii="CG Times" w:hAnsi="CG Times"/>
          <w:sz w:val="26"/>
        </w:rPr>
        <w:t xml:space="preserve">(5) </w:t>
      </w:r>
      <w:r>
        <w:rPr>
          <w:rFonts w:cs="CG Times" w:ascii="CG Times" w:hAnsi="CG Times"/>
          <w:smallCaps/>
          <w:sz w:val="26"/>
        </w:rPr>
        <w:t>Judicial Stay</w:t>
      </w:r>
      <w:r>
        <w:rPr>
          <w:rFonts w:cs="CG Times" w:ascii="CG Times" w:hAnsi="CG Times"/>
          <w:sz w:val="26"/>
        </w:rPr>
        <w:t>.–The filing of a petition by the Board pursuant to paragraph (1) shall operate as a judicial stay, until the date on which the determination of the court is final (including any appeal of the determination).</w:t>
      </w:r>
    </w:p>
    <w:p>
      <w:pPr>
        <w:sectPr>
          <w:type w:val="continuous"/>
          <w:pgSz w:w="12240" w:h="15840"/>
          <w:pgMar w:left="1296" w:right="1296" w:gutter="0" w:header="906" w:top="962" w:footer="1296" w:bottom="1352"/>
          <w:formProt w:val="false"/>
          <w:textDirection w:val="lrTb"/>
          <w:docGrid w:type="default" w:linePitch="360" w:charSpace="0"/>
        </w:sectPr>
      </w:pP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37"/>
        <w:ind w:firstLine="720" w:start="720" w:end="0"/>
        <w:jc w:val="both"/>
        <w:rPr/>
      </w:pPr>
      <w:r>
        <w:rPr>
          <w:rFonts w:cs="CG Times" w:ascii="CG Times" w:hAnsi="CG Times"/>
          <w:sz w:val="26"/>
        </w:rPr>
        <w:t xml:space="preserve">(6) </w:t>
      </w:r>
      <w:r>
        <w:rPr>
          <w:rFonts w:cs="CG Times" w:ascii="CG Times" w:hAnsi="CG Times"/>
          <w:smallCaps/>
          <w:sz w:val="26"/>
        </w:rPr>
        <w:t>Other Authority to Challenge</w:t>
      </w:r>
      <w:r>
        <w:rPr>
          <w:rFonts w:cs="CG Times" w:ascii="CG Times" w:hAnsi="CG Times"/>
          <w:sz w:val="26"/>
        </w:rPr>
        <w:t>.–Any aggrieved party may seek judicial review of the Commodity Future Trading Commission's determination or rulemaking under this section pursuant to section 6(c) of the Commodity Exchange Act.</w:t>
        <w:tab/>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37"/>
        <w:jc w:val="both"/>
        <w:rPr>
          <w:rFonts w:ascii="CG Times" w:hAnsi="CG Times" w:cs="CG Times"/>
          <w:b/>
          <w:sz w:val="26"/>
        </w:rPr>
      </w:pPr>
      <w:r>
        <w:rPr>
          <w:rFonts w:cs="CG Times" w:ascii="CG Times" w:hAnsi="CG Times"/>
          <w:b/>
          <w:smallCaps/>
          <w:sz w:val="26"/>
        </w:rPr>
        <w:t>sec. 406. certain terms defining banking products.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37"/>
        <w:ind w:start="720" w:end="0"/>
        <w:jc w:val="both"/>
        <w:rPr>
          <w:rFonts w:ascii="CG Times" w:hAnsi="CG Times" w:cs="CG Times"/>
          <w:sz w:val="26"/>
        </w:rPr>
      </w:pPr>
      <w:r>
        <w:rPr>
          <w:rFonts w:cs="CG Times" w:ascii="CG Times" w:hAnsi="CG Times"/>
          <w:sz w:val="26"/>
        </w:rPr>
        <w:t>For purposes of this title–</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37"/>
        <w:ind w:firstLine="720" w:start="720" w:end="0"/>
        <w:jc w:val="both"/>
        <w:rPr>
          <w:rFonts w:ascii="CG Times" w:hAnsi="CG Times" w:cs="CG Times"/>
          <w:sz w:val="26"/>
        </w:rPr>
      </w:pPr>
      <w:r>
        <w:rPr>
          <w:rFonts w:cs="CG Times" w:ascii="CG Times" w:hAnsi="CG Times"/>
          <w:sz w:val="26"/>
        </w:rPr>
        <w:t>(1) the term “bank” in section 206(a) of the Gramm-Leach-Bliley Act shall mean a bank as defined in section 402 of this title;</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37"/>
        <w:ind w:firstLine="720" w:start="720" w:end="0"/>
        <w:jc w:val="both"/>
        <w:rPr>
          <w:rFonts w:ascii="CG Times" w:hAnsi="CG Times" w:cs="CG Times"/>
          <w:sz w:val="26"/>
        </w:rPr>
      </w:pPr>
      <w:r>
        <w:rPr>
          <w:rFonts w:cs="CG Times" w:ascii="CG Times" w:hAnsi="CG Times"/>
          <w:sz w:val="26"/>
        </w:rPr>
        <w:t>(2) the term “new banking product” shall mean a product that--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37"/>
        <w:ind w:firstLine="720" w:start="1440" w:end="0"/>
        <w:jc w:val="both"/>
        <w:rPr>
          <w:rFonts w:ascii="CG Times" w:hAnsi="CG Times" w:cs="CG Times"/>
          <w:sz w:val="26"/>
        </w:rPr>
      </w:pPr>
      <w:r>
        <w:rPr>
          <w:rFonts w:cs="CG Times" w:ascii="CG Times" w:hAnsi="CG Times"/>
          <w:sz w:val="26"/>
        </w:rPr>
        <w:t>(A) is not otherwise excluded from the Commodity Exchange Act under section 403 or section 404;</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37"/>
        <w:ind w:firstLine="720" w:start="1440" w:end="0"/>
        <w:jc w:val="both"/>
        <w:rPr>
          <w:rFonts w:ascii="CG Times" w:hAnsi="CG Times" w:cs="CG Times"/>
          <w:sz w:val="26"/>
        </w:rPr>
      </w:pPr>
      <w:r>
        <w:rPr>
          <w:rFonts w:cs="CG Times" w:ascii="CG Times" w:hAnsi="CG Times"/>
          <w:sz w:val="26"/>
        </w:rPr>
        <w:t>(B) was not subjected to regulation by the Commodity Futures Trading Commission as a contract of sale of a commodity for future delivery (or an   option thereon), or an option on a commodity,  on or before December 5, 2000; and</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37"/>
        <w:ind w:firstLine="720" w:start="1440" w:end="0"/>
        <w:jc w:val="both"/>
        <w:rPr>
          <w:rFonts w:ascii="CG Times" w:hAnsi="CG Times" w:cs="CG Times"/>
          <w:sz w:val="26"/>
        </w:rPr>
      </w:pPr>
      <w:r>
        <w:rPr>
          <w:rFonts w:cs="CG Times" w:ascii="CG Times" w:hAnsi="CG Times"/>
          <w:sz w:val="26"/>
        </w:rPr>
        <w:t>(C) is offered by a bank after December 5, 2000;</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37"/>
        <w:ind w:firstLine="720" w:start="720" w:end="0"/>
        <w:jc w:val="both"/>
        <w:rPr>
          <w:rFonts w:ascii="CG Times" w:hAnsi="CG Times" w:cs="CG Times"/>
          <w:sz w:val="26"/>
        </w:rPr>
      </w:pPr>
      <w:r>
        <w:rPr>
          <w:rFonts w:cs="CG Times" w:ascii="CG Times" w:hAnsi="CG Times"/>
          <w:sz w:val="26"/>
        </w:rPr>
        <w:t>(3) the term “qualified investors” and “qualified investor” in Section 206(a) of the Gramm-Leach-Bliley Act shall have the same meaning as “eligible contract participants” and “eligible contract participant” as that term is defined in section 1a of the Commodity Exchange Act, as in effect on the date of enactment of the Commodity Futures Modernization Act of 2000.</w:t>
      </w:r>
    </w:p>
    <w:sectPr>
      <w:type w:val="continuous"/>
      <w:pgSz w:w="12240" w:h="15840"/>
      <w:pgMar w:left="1296" w:right="1296" w:gutter="0" w:header="906" w:top="962" w:footer="1296" w:bottom="1352"/>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spacing w:lineRule="exact" w:line="240"/>
      <w:rPr>
        <w:rFonts w:ascii="CG Times" w:hAnsi="CG Times" w:cs="CG Times"/>
      </w:rPr>
    </w:pPr>
    <w:r>
      <w:rPr>
        <w:rFonts w:cs="CG Times" w:ascii="CG Times" w:hAnsi="CG Times"/>
      </w:rPr>
    </w:r>
  </w:p>
  <w:p>
    <w:pPr>
      <w:pStyle w:val="Normal"/>
      <w:spacing w:lineRule="exact" w:line="240"/>
      <w:rPr>
        <w:rFonts w:ascii="CG Times" w:hAnsi="CG Times" w:cs="CG Times"/>
      </w:rPr>
    </w:pPr>
    <w:r>
      <w:rPr>
        <w:rFonts w:cs="CG Times" w:ascii="CG Times" w:hAnsi="CG Times"/>
      </w:rPr>
    </w:r>
    <w:r>
      <mc:AlternateContent>
        <mc:Choice Requires="wps">
          <w:drawing>
            <wp:anchor behindDoc="0" distT="0" distB="0" distL="12065" distR="12065" simplePos="0" locked="0" layoutInCell="0" allowOverlap="1" relativeHeight="6">
              <wp:simplePos x="0" y="0"/>
              <wp:positionH relativeFrom="margin">
                <wp:posOffset>3175</wp:posOffset>
              </wp:positionH>
              <wp:positionV relativeFrom="paragraph">
                <wp:posOffset>635</wp:posOffset>
              </wp:positionV>
              <wp:extent cx="5938520" cy="196215"/>
              <wp:effectExtent l="0" t="0" r="0" b="0"/>
              <wp:wrapTopAndBottom/>
              <wp:docPr id="1" name="Frame1"/>
              <a:graphic xmlns:a="http://schemas.openxmlformats.org/drawingml/2006/main">
                <a:graphicData uri="http://schemas.microsoft.com/office/word/2010/wordprocessingShape">
                  <wps:wsp>
                    <wps:cNvSpPr txBox="1"/>
                    <wps:spPr>
                      <a:xfrm>
                        <a:off x="0" y="0"/>
                        <a:ext cx="5938520" cy="196215"/>
                      </a:xfrm>
                      <a:prstGeom prst="rect"/>
                      <a:solidFill>
                        <a:srgbClr val="FFFFFF">
                          <a:alpha val="0"/>
                        </a:srgbClr>
                      </a:solidFill>
                      <a:ln w="9525">
                        <a:solidFill>
                          <a:srgbClr val="FFFFFF"/>
                        </a:solidFill>
                      </a:ln>
                    </wps:spPr>
                    <wps:txbx>
                      <w:txbxContent>
                        <w:p>
                          <w:pPr>
                            <w:pStyle w:val="Normal"/>
                            <w:jc w:val="center"/>
                            <w:rPr/>
                          </w:pPr>
                          <w:r>
                            <w:rPr>
                              <w:rFonts w:cs="CG Times" w:ascii="CG Times" w:hAnsi="CG Times"/>
                            </w:rPr>
                            <w:t>-</w:t>
                          </w:r>
                          <w:r>
                            <w:rPr>
                              <w:rFonts w:cs="CG Times" w:ascii="CG Times" w:hAnsi="CG Times"/>
                            </w:rPr>
                            <w:fldChar w:fldCharType="begin"/>
                          </w:r>
                          <w:r>
                            <w:rPr>
                              <w:rFonts w:cs="CG Times" w:ascii="CG Times" w:hAnsi="CG Times"/>
                            </w:rPr>
                            <w:instrText xml:space="preserve"> PAGE </w:instrText>
                          </w:r>
                          <w:r>
                            <w:rPr>
                              <w:rFonts w:cs="CG Times" w:ascii="CG Times" w:hAnsi="CG Times"/>
                            </w:rPr>
                            <w:fldChar w:fldCharType="separate"/>
                          </w:r>
                          <w:r>
                            <w:rPr>
                              <w:rFonts w:cs="CG Times" w:ascii="CG Times" w:hAnsi="CG Times"/>
                            </w:rPr>
                            <w:t>5</w:t>
                          </w:r>
                          <w:r>
                            <w:rPr>
                              <w:rFonts w:cs="CG Times" w:ascii="CG Times" w:hAnsi="CG Times"/>
                            </w:rPr>
                            <w:fldChar w:fldCharType="end"/>
                          </w:r>
                          <w:r>
                            <w:rPr>
                              <w:rFonts w:cs="CG Times" w:ascii="CG Times" w:hAnsi="CG Times"/>
                            </w:rPr>
                            <w:t>-</w:t>
                          </w:r>
                        </w:p>
                      </w:txbxContent>
                    </wps:txbx>
                    <wps:bodyPr anchor="t" lIns="0" tIns="0" rIns="0" bIns="0">
                      <a:noAutofit/>
                    </wps:bodyPr>
                  </wps:wsp>
                </a:graphicData>
              </a:graphic>
            </wp:anchor>
          </w:drawing>
        </mc:Choice>
        <mc:Fallback>
          <w:pict>
            <v:rect fillcolor="#FFFFFF" strokecolor="#FFFFFF" strokeweight="0pt" style="position:absolute;rotation:-0;width:467.6pt;height:15.45pt;mso-wrap-distance-left:0.95pt;mso-wrap-distance-right:0.95pt;mso-wrap-distance-top:0pt;mso-wrap-distance-bottom:0pt;margin-top:0.05pt;mso-position-vertical-relative:text;margin-left:0.25pt;mso-position-horizontal-relative:margin">
              <v:fill opacity="0f"/>
              <v:textbox inset="0in,0in,0in,0in">
                <w:txbxContent>
                  <w:p>
                    <w:pPr>
                      <w:pStyle w:val="Normal"/>
                      <w:jc w:val="center"/>
                      <w:rPr/>
                    </w:pPr>
                    <w:r>
                      <w:rPr>
                        <w:rFonts w:cs="CG Times" w:ascii="CG Times" w:hAnsi="CG Times"/>
                      </w:rPr>
                      <w:t>-</w:t>
                    </w:r>
                    <w:r>
                      <w:rPr>
                        <w:rFonts w:cs="CG Times" w:ascii="CG Times" w:hAnsi="CG Times"/>
                      </w:rPr>
                      <w:fldChar w:fldCharType="begin"/>
                    </w:r>
                    <w:r>
                      <w:rPr>
                        <w:rFonts w:cs="CG Times" w:ascii="CG Times" w:hAnsi="CG Times"/>
                      </w:rPr>
                      <w:instrText xml:space="preserve"> PAGE </w:instrText>
                    </w:r>
                    <w:r>
                      <w:rPr>
                        <w:rFonts w:cs="CG Times" w:ascii="CG Times" w:hAnsi="CG Times"/>
                      </w:rPr>
                      <w:fldChar w:fldCharType="separate"/>
                    </w:r>
                    <w:r>
                      <w:rPr>
                        <w:rFonts w:cs="CG Times" w:ascii="CG Times" w:hAnsi="CG Times"/>
                      </w:rPr>
                      <w:t>5</w:t>
                    </w:r>
                    <w:r>
                      <w:rPr>
                        <w:rFonts w:cs="CG Times" w:ascii="CG Times" w:hAnsi="CG Times"/>
                      </w:rPr>
                      <w:fldChar w:fldCharType="end"/>
                    </w:r>
                    <w:r>
                      <w:rPr>
                        <w:rFonts w:cs="CG Times" w:ascii="CG Times" w:hAnsi="CG Times"/>
                      </w:rPr>
                      <w:t>-</w:t>
                    </w:r>
                  </w:p>
                </w:txbxContent>
              </v:textbox>
              <w10:wrap type="topAndBottom"/>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40"/>
      <w:rPr>
        <w:rFonts w:ascii="CG Times" w:hAnsi="CG Times" w:cs="CG Times"/>
        <w:sz w:val="23"/>
      </w:rPr>
    </w:pPr>
    <w:r>
      <w:rPr>
        <w:rFonts w:cs="CG Times" w:ascii="CG Times" w:hAnsi="CG Times"/>
        <w:sz w:val="16"/>
      </w:rPr>
      <w:t>BH&amp;UA.XII.06.00</w:t>
    </w:r>
  </w:p>
  <w:p>
    <w:pPr>
      <w:pStyle w:val="Normal"/>
      <w:spacing w:lineRule="auto" w:line="240"/>
      <w:rPr>
        <w:rFonts w:ascii="CG Times" w:hAnsi="CG Times" w:cs="CG Times"/>
        <w:sz w:val="23"/>
      </w:rPr>
    </w:pPr>
    <w:r>
      <w:rPr>
        <w:rFonts w:cs="CG Times" w:ascii="CG Times" w:hAnsi="CG Times"/>
        <w:sz w:val="23"/>
      </w:rPr>
    </w:r>
  </w:p>
  <w:p>
    <w:pPr>
      <w:pStyle w:val="Normal"/>
      <w:spacing w:lineRule="auto" w:line="240"/>
      <w:rPr>
        <w:rFonts w:ascii="CG Times" w:hAnsi="CG Times" w:cs="CG Times"/>
        <w:sz w:val="23"/>
      </w:rPr>
    </w:pPr>
    <w:r>
      <w:rPr>
        <w:rFonts w:cs="CG Times" w:ascii="CG Times" w:hAnsi="CG Times"/>
        <w:sz w:val="23"/>
      </w:rPr>
    </w:r>
  </w:p>
  <w:p>
    <w:pPr>
      <w:pStyle w:val="Normal"/>
      <w:spacing w:lineRule="exact" w:line="240"/>
      <w:rPr>
        <w:rFonts w:ascii="CG Times" w:hAnsi="CG Times" w:cs="CG Times"/>
      </w:rPr>
    </w:pPr>
    <w:r>
      <w:rPr>
        <w:rFonts w:cs="CG Times" w:ascii="CG Times" w:hAnsi="CG Times"/>
      </w:rPr>
    </w:r>
  </w:p>
</w:hdr>
</file>

<file path=word/settings.xml><?xml version="1.0" encoding="utf-8"?>
<w:settings xmlns:w="http://schemas.openxmlformats.org/wordprocessingml/2006/main">
  <w:zoom w:val="bestFit" w:percent="2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
    <w:name w:val="Body Text In"/>
    <w:basedOn w:val="Normal"/>
    <w:qFormat/>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37"/>
      <w:ind w:firstLine="720" w:start="720" w:end="0"/>
      <w:jc w:val="both"/>
    </w:pPr>
    <w:rPr>
      <w:rFonts w:ascii="CG Times" w:hAnsi="CG Times" w:cs="CG Times"/>
      <w:sz w:val="26"/>
    </w:rPr>
  </w:style>
  <w:style w:type="paragraph" w:styleId="1">
    <w:name w:val="1"/>
    <w:basedOn w:val="Normal"/>
    <w:qFormat/>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437"/>
      <w:ind w:firstLine="720" w:start="1440" w:end="0"/>
      <w:jc w:val="both"/>
    </w:pPr>
    <w:rPr>
      <w:rFonts w:ascii="CG Times" w:hAnsi="CG Times" w:cs="CG Times"/>
      <w:sz w:val="26"/>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FrameContents">
    <w:name w:val="Frame Contents"/>
    <w:basedOn w:val="Normal"/>
    <w:qFormat/>
    <w:pPr/>
    <w:rPr/>
  </w:style>
  <w:style w:type="paragraph" w:styleId="Header">
    <w:name w:val="header"/>
    <w:basedOn w:val="HeaderandFoot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2000-12-08T12:03:00Z</dcterms:created>
  <dc:creator>Stacy Carey</dc:creator>
  <dc:description/>
  <dc:language>en-CA</dc:language>
  <cp:lastModifiedBy>Stacy Carey</cp:lastModifiedBy>
  <dcterms:modified xsi:type="dcterms:W3CDTF">2000-12-08T12:03:00Z</dcterms:modified>
  <cp:revision>2</cp:revision>
  <dc:subject/>
  <dc:title>LEGAL CERTAINTY FOR BANK PRODUCTS ACT</dc:title>
</cp:coreProperties>
</file>