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r>
        <w:rPr/>
        <w:t>Memo</w:t>
      </w:r>
      <w:r>
        <mc:AlternateContent>
          <mc:Choice Requires="wps">
            <w:drawing>
              <wp:anchor behindDoc="0" distT="0" distB="0" distL="114300" distR="114300" simplePos="0" locked="0" layoutInCell="0" allowOverlap="1" relativeHeight="2">
                <wp:simplePos x="0" y="0"/>
                <wp:positionH relativeFrom="page">
                  <wp:posOffset>1143635</wp:posOffset>
                </wp:positionH>
                <wp:positionV relativeFrom="page">
                  <wp:posOffset>610235</wp:posOffset>
                </wp:positionV>
                <wp:extent cx="3200400" cy="254000"/>
                <wp:effectExtent l="0" t="0" r="0" b="0"/>
                <wp:wrapTopAndBottom/>
                <wp:docPr id="1" name="Frame1"/>
                <a:graphic xmlns:a="http://schemas.openxmlformats.org/drawingml/2006/main">
                  <a:graphicData uri="http://schemas.microsoft.com/office/word/2010/wordprocessingShape">
                    <wps:wsp>
                      <wps:cNvSpPr txBox="1"/>
                      <wps:spPr>
                        <a:xfrm>
                          <a:off x="0" y="0"/>
                          <a:ext cx="3200400" cy="254000"/>
                        </a:xfrm>
                        <a:prstGeom prst="rect"/>
                        <a:solidFill>
                          <a:srgbClr val="FFFFFF">
                            <a:alpha val="0"/>
                          </a:srgbClr>
                        </a:solidFill>
                      </wps:spPr>
                      <wps:txbx>
                        <w:txbxContent>
                          <w:p>
                            <w:pPr>
                              <w:pStyle w:val="ReturnAddress"/>
                              <w:rPr/>
                            </w:pPr>
                            <w:r>
                              <w:rPr/>
                              <w:t>1112 I St.,Suite 380, Sacramento, CA  95814</w:t>
                            </w:r>
                          </w:p>
                          <w:p>
                            <w:pPr>
                              <w:pStyle w:val="ReturnAddress"/>
                              <w:rPr/>
                            </w:pPr>
                            <w:r>
                              <w:rPr/>
                              <w:t>Ph: 916/448-9499     Fx: 916/448-0182</w:t>
                            </w:r>
                          </w:p>
                        </w:txbxContent>
                      </wps:txbx>
                      <wps:bodyPr anchor="t" lIns="0" tIns="0" rIns="0" bIns="0">
                        <a:noAutofit/>
                      </wps:bodyPr>
                    </wps:wsp>
                  </a:graphicData>
                </a:graphic>
              </wp:anchor>
            </w:drawing>
          </mc:Choice>
          <mc:Fallback>
            <w:pict>
              <v:rect fillcolor="#FFFFFF" style="position:absolute;rotation:-0;width:252pt;height:20pt;mso-wrap-distance-left:9pt;mso-wrap-distance-right:9pt;mso-wrap-distance-top:0pt;mso-wrap-distance-bottom:0pt;margin-top:48.05pt;mso-position-vertical-relative:page;margin-left:90.05pt;mso-position-horizontal-relative:page">
                <v:fill opacity="0f"/>
                <v:textbox inset="0in,0in,0in,0in">
                  <w:txbxContent>
                    <w:p>
                      <w:pPr>
                        <w:pStyle w:val="ReturnAddress"/>
                        <w:rPr/>
                      </w:pPr>
                      <w:r>
                        <w:rPr/>
                        <w:t>1112 I St.,Suite 380, Sacramento, CA  95814</w:t>
                      </w:r>
                    </w:p>
                    <w:p>
                      <w:pPr>
                        <w:pStyle w:val="ReturnAddress"/>
                        <w:rPr/>
                      </w:pPr>
                      <w:r>
                        <w:rPr/>
                        <w:t>Ph: 916/448-9499     Fx: 916/448-0182</w:t>
                      </w:r>
                    </w:p>
                  </w:txbxContent>
                </v:textbox>
                <w10:wrap type="topAndBottom"/>
              </v:rect>
            </w:pict>
          </mc:Fallback>
        </mc:AlternateContent>
      </w:r>
      <w:r>
        <mc:AlternateContent>
          <mc:Choice Requires="wps">
            <w:drawing>
              <wp:anchor behindDoc="0" distT="118745" distB="118745" distL="118745" distR="118745" simplePos="0" locked="0" layoutInCell="0" allowOverlap="1" relativeHeight="3">
                <wp:simplePos x="0" y="0"/>
                <wp:positionH relativeFrom="page">
                  <wp:posOffset>4540250</wp:posOffset>
                </wp:positionH>
                <wp:positionV relativeFrom="page">
                  <wp:posOffset>640715</wp:posOffset>
                </wp:positionV>
                <wp:extent cx="2506345" cy="901700"/>
                <wp:effectExtent l="0" t="0" r="0" b="0"/>
                <wp:wrapTopAndBottom/>
                <wp:docPr id="2" name="Frame2"/>
                <a:graphic xmlns:a="http://schemas.openxmlformats.org/drawingml/2006/main">
                  <a:graphicData uri="http://schemas.microsoft.com/office/word/2010/wordprocessingShape">
                    <wps:wsp>
                      <wps:cNvSpPr txBox="1"/>
                      <wps:spPr>
                        <a:xfrm>
                          <a:off x="0" y="0"/>
                          <a:ext cx="2506345" cy="901700"/>
                        </a:xfrm>
                        <a:prstGeom prst="rect"/>
                        <a:solidFill>
                          <a:srgbClr val="FFFFFF">
                            <a:alpha val="0"/>
                          </a:srgbClr>
                        </a:solidFill>
                        <a:ln w="9525">
                          <a:solidFill>
                            <a:srgbClr val="000000"/>
                          </a:solidFill>
                        </a:ln>
                      </wps:spPr>
                      <wps:txbx>
                        <w:txbxContent>
                          <w:p>
                            <w:pPr>
                              <w:pStyle w:val="CompanyName"/>
                              <w:rPr/>
                            </w:pPr>
                            <w:r>
                              <w:rPr/>
                              <w:t>Independent Energy Producers Assn.</w:t>
                            </w:r>
                          </w:p>
                        </w:txbxContent>
                      </wps:txbx>
                      <wps:bodyPr anchor="t" lIns="114300" tIns="114300" rIns="114300" bIns="114300">
                        <a:noAutofit/>
                      </wps:bodyPr>
                    </wps:wsp>
                  </a:graphicData>
                </a:graphic>
              </wp:anchor>
            </w:drawing>
          </mc:Choice>
          <mc:Fallback>
            <w:pict>
              <v:rect fillcolor="#FFFFFF" strokecolor="#000000" strokeweight="0pt" style="position:absolute;rotation:-0;width:197.35pt;height:71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pPr>
                      <w:r>
                        <w:rPr/>
                        <w:t>Independent Energy Producers Assn.</w:t>
                      </w:r>
                    </w:p>
                  </w:txbxContent>
                </v:textbox>
                <w10:wrap type="topAndBottom"/>
              </v:rect>
            </w:pict>
          </mc:Fallback>
        </mc:AlternateContent>
      </w:r>
    </w:p>
    <w:p>
      <w:pPr>
        <w:pStyle w:val="MessageHeaderFirst"/>
        <w:rPr/>
      </w:pPr>
      <w:r>
        <w:rPr>
          <w:rStyle w:val="MessageHeaderLabel"/>
          <w:spacing w:val="-25"/>
        </w:rPr>
        <w:t>T</w:t>
      </w:r>
      <w:r>
        <w:rPr>
          <w:rStyle w:val="MessageHeaderLabel"/>
        </w:rPr>
        <w:t>o:</w:t>
      </w:r>
      <w:r>
        <w:rPr>
          <w:rFonts w:cs="Times New Roman" w:ascii="Times New Roman" w:hAnsi="Times New Roman"/>
          <w:sz w:val="24"/>
        </w:rPr>
        <w:tab/>
        <w:t>IEP Generators</w:t>
      </w:r>
    </w:p>
    <w:p>
      <w:pPr>
        <w:pStyle w:val="MessageHeader"/>
        <w:rPr/>
      </w:pPr>
      <w:r>
        <w:rPr>
          <w:rStyle w:val="MessageHeaderLabel"/>
          <w:rFonts w:cs="Times New Roman" w:ascii="Times New Roman" w:hAnsi="Times New Roman"/>
          <w:sz w:val="24"/>
        </w:rPr>
        <w:t>From:</w:t>
      </w:r>
      <w:r>
        <w:rPr>
          <w:rFonts w:cs="Times New Roman" w:ascii="Times New Roman" w:hAnsi="Times New Roman"/>
          <w:sz w:val="24"/>
        </w:rPr>
        <w:tab/>
        <w:t>Jan Smutny-Jones</w:t>
      </w:r>
    </w:p>
    <w:p>
      <w:pPr>
        <w:pStyle w:val="MessageHeader"/>
        <w:rPr/>
      </w:pPr>
      <w:r>
        <w:rPr>
          <w:rStyle w:val="MessageHeaderLabel"/>
          <w:rFonts w:cs="Times New Roman" w:ascii="Times New Roman" w:hAnsi="Times New Roman"/>
          <w:sz w:val="24"/>
        </w:rPr>
        <w:t>CC:</w:t>
      </w:r>
      <w:r>
        <w:rPr>
          <w:rFonts w:cs="Times New Roman" w:ascii="Times New Roman" w:hAnsi="Times New Roman"/>
          <w:sz w:val="24"/>
        </w:rPr>
        <w:tab/>
        <w:t>Steven Kelly; Katie Kaplan</w:t>
      </w:r>
    </w:p>
    <w:p>
      <w:pPr>
        <w:pStyle w:val="MessageHeader"/>
        <w:rPr>
          <w:rFonts w:ascii="Times New Roman" w:hAnsi="Times New Roman" w:cs="Times New Roman"/>
          <w:sz w:val="24"/>
        </w:rPr>
      </w:pPr>
      <w:r>
        <w:rPr>
          <w:rStyle w:val="MessageHeaderLabel"/>
          <w:rFonts w:cs="Times New Roman" w:ascii="Times New Roman" w:hAnsi="Times New Roman"/>
          <w:sz w:val="24"/>
        </w:rPr>
        <w:t>Date:</w:t>
      </w:r>
      <w:r>
        <w:rPr>
          <w:rFonts w:cs="Times New Roman" w:ascii="Times New Roman" w:hAnsi="Times New Roman"/>
          <w:sz w:val="24"/>
        </w:rPr>
        <w:tab/>
      </w:r>
      <w:r>
        <w:rPr>
          <w:rFonts w:cs="Times New Roman" w:ascii="Times New Roman" w:hAnsi="Times New Roman"/>
          <w:sz w:val="24"/>
        </w:rPr>
        <w:fldChar w:fldCharType="begin"/>
      </w:r>
      <w:r>
        <w:rPr>
          <w:sz w:val="24"/>
          <w:rFonts w:cs="Times New Roman" w:ascii="Times New Roman" w:hAnsi="Times New Roman"/>
        </w:rPr>
        <w:instrText xml:space="preserve"> DATE \@"M/d/yyyy" </w:instrText>
      </w:r>
      <w:r>
        <w:rPr>
          <w:sz w:val="24"/>
          <w:rFonts w:cs="Times New Roman" w:ascii="Times New Roman" w:hAnsi="Times New Roman"/>
        </w:rPr>
        <w:fldChar w:fldCharType="separate"/>
      </w:r>
      <w:r>
        <w:rPr>
          <w:sz w:val="24"/>
          <w:rFonts w:cs="Times New Roman" w:ascii="Times New Roman" w:hAnsi="Times New Roman"/>
        </w:rPr>
        <w:t>9/28/2025</w:t>
      </w:r>
      <w:r>
        <w:rPr>
          <w:sz w:val="24"/>
          <w:rFonts w:cs="Times New Roman" w:ascii="Times New Roman" w:hAnsi="Times New Roman"/>
        </w:rPr>
        <w:fldChar w:fldCharType="end"/>
      </w:r>
    </w:p>
    <w:p>
      <w:pPr>
        <w:pStyle w:val="MessageHeaderLast"/>
        <w:rPr/>
      </w:pPr>
      <w:r>
        <w:rPr>
          <w:rStyle w:val="MessageHeaderLabel"/>
          <w:rFonts w:cs="Times New Roman" w:ascii="Times New Roman" w:hAnsi="Times New Roman"/>
          <w:sz w:val="24"/>
        </w:rPr>
        <w:t>Re:</w:t>
      </w:r>
      <w:r>
        <w:rPr>
          <w:rFonts w:cs="Times New Roman" w:ascii="Times New Roman" w:hAnsi="Times New Roman"/>
          <w:sz w:val="24"/>
        </w:rPr>
        <w:tab/>
        <w:t>Governor’s Staff Meeting</w:t>
        <w:tab/>
        <w:tab/>
      </w:r>
    </w:p>
    <w:p>
      <w:pPr>
        <w:pStyle w:val="BodyText"/>
        <w:rPr/>
      </w:pPr>
      <w:r>
        <w:rPr>
          <w:rFonts w:cs="Times New Roman" w:ascii="Times New Roman" w:hAnsi="Times New Roman"/>
          <w:sz w:val="24"/>
        </w:rPr>
        <w:t>Several IEP companies have been invited to a meeting with the Governor’s staff next Monday, November 27</w:t>
      </w:r>
      <w:r>
        <w:rPr>
          <w:rFonts w:cs="Times New Roman" w:ascii="Times New Roman" w:hAnsi="Times New Roman"/>
          <w:sz w:val="24"/>
          <w:vertAlign w:val="superscript"/>
        </w:rPr>
        <w:t>th</w:t>
      </w:r>
      <w:r>
        <w:rPr>
          <w:rFonts w:cs="Times New Roman" w:ascii="Times New Roman" w:hAnsi="Times New Roman"/>
          <w:sz w:val="24"/>
        </w:rPr>
        <w:t>.</w:t>
      </w:r>
    </w:p>
    <w:p>
      <w:pPr>
        <w:pStyle w:val="BodyText"/>
        <w:rPr/>
      </w:pPr>
      <w:r>
        <w:rPr>
          <w:rFonts w:cs="Times New Roman" w:ascii="Times New Roman" w:hAnsi="Times New Roman"/>
          <w:sz w:val="24"/>
        </w:rPr>
        <w:t>The following are some options, which the Governor’s office is considering.  IEP is doing some preliminary research on some of these topics.  IEP would like to arrange a teleconference call around noon on Monday, November 27</w:t>
      </w:r>
      <w:r>
        <w:rPr>
          <w:rFonts w:cs="Times New Roman" w:ascii="Times New Roman" w:hAnsi="Times New Roman"/>
          <w:sz w:val="24"/>
          <w:vertAlign w:val="superscript"/>
        </w:rPr>
        <w:t>th</w:t>
      </w:r>
      <w:r>
        <w:rPr>
          <w:rFonts w:cs="Times New Roman" w:ascii="Times New Roman" w:hAnsi="Times New Roman"/>
          <w:sz w:val="24"/>
        </w:rPr>
        <w:t xml:space="preserve"> to discuss the Governor’s meeting.  Please advise us as to whether your have been invited, and who you are sending.</w:t>
      </w:r>
    </w:p>
    <w:p>
      <w:pPr>
        <w:pStyle w:val="BodyText"/>
        <w:rPr>
          <w:rFonts w:ascii="Times New Roman" w:hAnsi="Times New Roman" w:cs="Times New Roman"/>
          <w:sz w:val="24"/>
        </w:rPr>
      </w:pPr>
      <w:r>
        <w:rPr>
          <w:rFonts w:cs="Times New Roman" w:ascii="Times New Roman" w:hAnsi="Times New Roman"/>
          <w:sz w:val="24"/>
        </w:rPr>
        <w:t>California’s electricity supply situation has two inter-related problems – (1) high wholesale electricity costs, and (2) marginally adequate supply of generation – both have combined to create a dysfunctional wholesale electricity market.  The goals should be:</w:t>
      </w:r>
    </w:p>
    <w:p>
      <w:pPr>
        <w:pStyle w:val="BodyText"/>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sz w:val="24"/>
          <w:u w:val="single"/>
        </w:rPr>
        <w:t>To assure reliable electricity to California consumers for the lowest reasonable cost.</w:t>
      </w:r>
    </w:p>
    <w:p>
      <w:pPr>
        <w:pStyle w:val="BodyText"/>
        <w:numPr>
          <w:ilvl w:val="0"/>
          <w:numId w:val="2"/>
        </w:numPr>
        <w:rPr>
          <w:rFonts w:ascii="Times New Roman" w:hAnsi="Times New Roman" w:cs="Times New Roman"/>
          <w:sz w:val="24"/>
        </w:rPr>
      </w:pPr>
      <w:r>
        <w:rPr>
          <w:rFonts w:cs="Times New Roman" w:ascii="Times New Roman" w:hAnsi="Times New Roman"/>
          <w:sz w:val="24"/>
        </w:rPr>
        <w:t>Consider requiring that all in-state generation be sold in state.</w:t>
      </w:r>
    </w:p>
    <w:p>
      <w:pPr>
        <w:pStyle w:val="BodyText"/>
        <w:numPr>
          <w:ilvl w:val="0"/>
          <w:numId w:val="2"/>
        </w:numPr>
        <w:rPr>
          <w:rFonts w:ascii="Times New Roman" w:hAnsi="Times New Roman" w:cs="Times New Roman"/>
          <w:sz w:val="24"/>
        </w:rPr>
      </w:pPr>
      <w:r>
        <w:rPr>
          <w:rFonts w:cs="Times New Roman" w:ascii="Times New Roman" w:hAnsi="Times New Roman"/>
          <w:sz w:val="24"/>
        </w:rPr>
        <w:t>Consider re-asserting state authority over the operation, maintenance and safety practices of all in-state generating facilities’ for public health and safety purposes.</w:t>
      </w:r>
    </w:p>
    <w:p>
      <w:pPr>
        <w:pStyle w:val="BodyText"/>
        <w:numPr>
          <w:ilvl w:val="0"/>
          <w:numId w:val="2"/>
        </w:numPr>
        <w:rPr>
          <w:rFonts w:ascii="Times New Roman" w:hAnsi="Times New Roman" w:cs="Times New Roman"/>
          <w:sz w:val="24"/>
        </w:rPr>
      </w:pPr>
      <w:r>
        <w:rPr>
          <w:rFonts w:cs="Times New Roman" w:ascii="Times New Roman" w:hAnsi="Times New Roman"/>
          <w:sz w:val="24"/>
        </w:rPr>
        <w:t>Consider developing a state power authority to build generation and own/operate transmission.</w:t>
      </w:r>
    </w:p>
    <w:p>
      <w:pPr>
        <w:pStyle w:val="BodyText"/>
        <w:numPr>
          <w:ilvl w:val="0"/>
          <w:numId w:val="2"/>
        </w:numPr>
        <w:rPr>
          <w:rFonts w:ascii="Times New Roman" w:hAnsi="Times New Roman" w:cs="Times New Roman"/>
          <w:sz w:val="24"/>
        </w:rPr>
      </w:pPr>
      <w:r>
        <w:rPr>
          <w:rFonts w:cs="Times New Roman" w:ascii="Times New Roman" w:hAnsi="Times New Roman"/>
          <w:sz w:val="24"/>
        </w:rPr>
        <w:t>Consider requiring utilities both to retain existing and to build new generation.</w:t>
      </w:r>
    </w:p>
    <w:p>
      <w:pPr>
        <w:pStyle w:val="BodyText"/>
        <w:numPr>
          <w:ilvl w:val="0"/>
          <w:numId w:val="2"/>
        </w:numPr>
        <w:rPr>
          <w:rFonts w:ascii="Times New Roman" w:hAnsi="Times New Roman" w:cs="Times New Roman"/>
          <w:sz w:val="24"/>
        </w:rPr>
      </w:pPr>
      <w:r>
        <w:rPr>
          <w:rFonts w:cs="Times New Roman" w:ascii="Times New Roman" w:hAnsi="Times New Roman"/>
          <w:sz w:val="24"/>
        </w:rPr>
        <w:t>Consider providing utilities with authority to stabilize retail prices to be paid by consumers through development of an energy portfolio that reduces exposure to spot markets, including contracting forward for much more of their unmet power needs.</w:t>
      </w:r>
    </w:p>
    <w:p>
      <w:pPr>
        <w:pStyle w:val="BodyText"/>
        <w:numPr>
          <w:ilvl w:val="0"/>
          <w:numId w:val="2"/>
        </w:numPr>
        <w:rPr>
          <w:rFonts w:ascii="Times New Roman" w:hAnsi="Times New Roman" w:cs="Times New Roman"/>
          <w:sz w:val="24"/>
        </w:rPr>
      </w:pPr>
      <w:r>
        <w:rPr>
          <w:rFonts w:cs="Times New Roman" w:ascii="Times New Roman" w:hAnsi="Times New Roman"/>
          <w:sz w:val="24"/>
        </w:rPr>
        <w:t>Consider extending consumer rate freeze.</w:t>
      </w:r>
    </w:p>
    <w:p>
      <w:pPr>
        <w:pStyle w:val="BodyText"/>
        <w:numPr>
          <w:ilvl w:val="0"/>
          <w:numId w:val="2"/>
        </w:numPr>
        <w:rPr>
          <w:rFonts w:ascii="Times New Roman" w:hAnsi="Times New Roman" w:cs="Times New Roman"/>
          <w:sz w:val="24"/>
        </w:rPr>
      </w:pPr>
      <w:r>
        <w:rPr>
          <w:rFonts w:cs="Times New Roman" w:ascii="Times New Roman" w:hAnsi="Times New Roman"/>
          <w:sz w:val="24"/>
        </w:rPr>
        <w:t>Consider centralizing power plant dispatch like the other ISOs in the rest of the country.</w:t>
      </w:r>
    </w:p>
    <w:p>
      <w:pPr>
        <w:pStyle w:val="BodyText"/>
        <w:numPr>
          <w:ilvl w:val="0"/>
          <w:numId w:val="2"/>
        </w:numPr>
        <w:rPr>
          <w:rFonts w:ascii="Times New Roman" w:hAnsi="Times New Roman" w:cs="Times New Roman"/>
          <w:sz w:val="24"/>
        </w:rPr>
      </w:pPr>
      <w:r>
        <w:rPr>
          <w:rFonts w:cs="Times New Roman" w:ascii="Times New Roman" w:hAnsi="Times New Roman"/>
          <w:sz w:val="24"/>
        </w:rPr>
        <w:t>Consider eliminating the ISO and assigning its functions to either a state or private entity that can acquire the transmission facilities, and control the electricity transmission grid (MUNIs have proposed this).</w:t>
      </w:r>
    </w:p>
    <w:p>
      <w:pPr>
        <w:pStyle w:val="BodyText"/>
        <w:numPr>
          <w:ilvl w:val="0"/>
          <w:numId w:val="2"/>
        </w:numPr>
        <w:rPr>
          <w:rFonts w:ascii="Times New Roman" w:hAnsi="Times New Roman" w:cs="Times New Roman"/>
          <w:sz w:val="24"/>
        </w:rPr>
      </w:pPr>
      <w:r>
        <w:rPr>
          <w:rFonts w:cs="Times New Roman" w:ascii="Times New Roman" w:hAnsi="Times New Roman"/>
          <w:sz w:val="24"/>
        </w:rPr>
        <w:t>Consider sponsoring/supporting legislation to change the ISO and PX boards to increase accountability.</w:t>
      </w:r>
    </w:p>
    <w:p>
      <w:pPr>
        <w:pStyle w:val="BodyText"/>
        <w:numPr>
          <w:ilvl w:val="0"/>
          <w:numId w:val="2"/>
        </w:numPr>
        <w:rPr>
          <w:rFonts w:ascii="Times New Roman" w:hAnsi="Times New Roman" w:cs="Times New Roman"/>
          <w:sz w:val="24"/>
        </w:rPr>
      </w:pPr>
      <w:r>
        <w:rPr>
          <w:rFonts w:cs="Times New Roman" w:ascii="Times New Roman" w:hAnsi="Times New Roman"/>
          <w:sz w:val="24"/>
        </w:rPr>
        <w:t>Expand energy conservation programs focused both on immediate peak demand reduction and on longer term, broader-based programs.</w:t>
      </w:r>
    </w:p>
    <w:p>
      <w:pPr>
        <w:pStyle w:val="BodyText"/>
        <w:numPr>
          <w:ilvl w:val="0"/>
          <w:numId w:val="2"/>
        </w:numPr>
        <w:rPr>
          <w:rFonts w:ascii="Times New Roman" w:hAnsi="Times New Roman" w:cs="Times New Roman"/>
          <w:sz w:val="24"/>
        </w:rPr>
      </w:pPr>
      <w:r>
        <w:rPr>
          <w:rFonts w:cs="Times New Roman" w:ascii="Times New Roman" w:hAnsi="Times New Roman"/>
          <w:sz w:val="24"/>
        </w:rPr>
        <w:t>Aggressively work to site new generation and transmission facilities, to streamline permitting, and to develop renewable resources.</w:t>
      </w:r>
    </w:p>
    <w:p>
      <w:pPr>
        <w:pStyle w:val="BodyText"/>
        <w:numPr>
          <w:ilvl w:val="0"/>
          <w:numId w:val="2"/>
        </w:numPr>
        <w:rPr>
          <w:rFonts w:ascii="Times New Roman" w:hAnsi="Times New Roman" w:cs="Times New Roman"/>
          <w:sz w:val="24"/>
        </w:rPr>
      </w:pPr>
      <w:r>
        <w:rPr>
          <w:rFonts w:cs="Times New Roman" w:ascii="Times New Roman" w:hAnsi="Times New Roman"/>
          <w:sz w:val="24"/>
        </w:rPr>
        <w:t>Call for/sponsor federal FERC reform legislation that would:</w:t>
      </w:r>
    </w:p>
    <w:p>
      <w:pPr>
        <w:pStyle w:val="BodyText"/>
        <w:numPr>
          <w:ilvl w:val="1"/>
          <w:numId w:val="2"/>
        </w:numPr>
        <w:spacing w:lineRule="auto" w:line="240"/>
        <w:rPr>
          <w:rFonts w:ascii="Times New Roman" w:hAnsi="Times New Roman" w:cs="Times New Roman"/>
          <w:sz w:val="24"/>
        </w:rPr>
      </w:pPr>
      <w:r>
        <w:rPr>
          <w:rFonts w:cs="Times New Roman" w:ascii="Times New Roman" w:hAnsi="Times New Roman"/>
          <w:sz w:val="24"/>
        </w:rPr>
        <w:t>Impose a regional price cap that varies by time of day and year;</w:t>
      </w:r>
    </w:p>
    <w:p>
      <w:pPr>
        <w:pStyle w:val="BodyText"/>
        <w:numPr>
          <w:ilvl w:val="1"/>
          <w:numId w:val="2"/>
        </w:numPr>
        <w:spacing w:lineRule="auto" w:line="240"/>
        <w:rPr>
          <w:rFonts w:ascii="Times New Roman" w:hAnsi="Times New Roman" w:cs="Times New Roman"/>
          <w:sz w:val="24"/>
        </w:rPr>
      </w:pPr>
      <w:r>
        <w:rPr>
          <w:rFonts w:cs="Times New Roman" w:ascii="Times New Roman" w:hAnsi="Times New Roman"/>
          <w:sz w:val="24"/>
        </w:rPr>
        <w:t>Set requirements for FERC to use its retroactive refund authority;</w:t>
      </w:r>
    </w:p>
    <w:p>
      <w:pPr>
        <w:pStyle w:val="BodyText"/>
        <w:numPr>
          <w:ilvl w:val="1"/>
          <w:numId w:val="2"/>
        </w:numPr>
        <w:spacing w:lineRule="auto" w:line="240"/>
        <w:rPr>
          <w:rFonts w:ascii="Times New Roman" w:hAnsi="Times New Roman" w:cs="Times New Roman"/>
          <w:sz w:val="24"/>
        </w:rPr>
      </w:pPr>
      <w:r>
        <w:rPr>
          <w:rFonts w:cs="Times New Roman" w:ascii="Times New Roman" w:hAnsi="Times New Roman"/>
          <w:sz w:val="24"/>
        </w:rPr>
        <w:t>Improve FERC enforcement over price gouging practices;</w:t>
      </w:r>
    </w:p>
    <w:p>
      <w:pPr>
        <w:pStyle w:val="BodyText"/>
        <w:numPr>
          <w:ilvl w:val="1"/>
          <w:numId w:val="2"/>
        </w:numPr>
        <w:spacing w:lineRule="auto" w:line="240"/>
        <w:rPr>
          <w:rFonts w:ascii="Times New Roman" w:hAnsi="Times New Roman" w:cs="Times New Roman"/>
          <w:sz w:val="24"/>
        </w:rPr>
      </w:pPr>
      <w:r>
        <w:rPr>
          <w:rFonts w:cs="Times New Roman" w:ascii="Times New Roman" w:hAnsi="Times New Roman"/>
          <w:sz w:val="24"/>
        </w:rPr>
        <w:t>Affirm the role of states to protect their customers from unjust prices.</w:t>
      </w:r>
    </w:p>
    <w:p>
      <w:pPr>
        <w:pStyle w:val="BodyText"/>
        <w:numPr>
          <w:ilvl w:val="0"/>
          <w:numId w:val="2"/>
        </w:numPr>
        <w:spacing w:lineRule="auto" w:line="240"/>
        <w:rPr>
          <w:rFonts w:ascii="Times New Roman" w:hAnsi="Times New Roman" w:cs="Times New Roman"/>
          <w:sz w:val="24"/>
        </w:rPr>
      </w:pPr>
      <w:r>
        <w:rPr>
          <w:rFonts w:cs="Times New Roman" w:ascii="Times New Roman" w:hAnsi="Times New Roman"/>
          <w:sz w:val="24"/>
        </w:rPr>
        <w:t>Pressure the FERC to do its job to (1) bring about responsible seller behavior in wholesale electric markets through price controls and other market interventions as necessary, and (2) provide refunds to affected consumers.</w:t>
      </w:r>
    </w:p>
    <w:p>
      <w:pPr>
        <w:pStyle w:val="BodyText"/>
        <w:rPr>
          <w:rFonts w:ascii="Times New Roman" w:hAnsi="Times New Roman" w:cs="Times New Roman"/>
          <w:sz w:val="24"/>
        </w:rPr>
      </w:pPr>
      <w:r>
        <w:rPr>
          <w:rFonts w:cs="Times New Roman" w:ascii="Times New Roman" w:hAnsi="Times New Roman"/>
          <w:sz w:val="24"/>
        </w:rPr>
      </w:r>
    </w:p>
    <w:p>
      <w:pPr>
        <w:pStyle w:val="BodyText"/>
        <w:spacing w:before="0" w:after="220"/>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type w:val="nextPage"/>
      <w:pgSz w:w="12240" w:h="15840"/>
      <w:pgMar w:left="1800" w:right="1800" w:gutter="0" w:header="0" w:top="171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end"/>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end"/>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2000-11-22T17:30:00Z</dcterms:created>
  <dc:creator>Lena Workman</dc:creator>
  <dc:description/>
  <dc:language>en-CA</dc:language>
  <cp:lastModifiedBy>Lois Rose</cp:lastModifiedBy>
  <cp:lastPrinted>2000-11-22T11:50:00Z</cp:lastPrinted>
  <dcterms:modified xsi:type="dcterms:W3CDTF">2000-11-22T17:32:00Z</dcterms:modified>
  <cp:revision>3</cp:revision>
  <dc:subject/>
  <dc:title>Memo</dc:title>
</cp:coreProperties>
</file>