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4" w:space="1" w:color="000000"/>
          <w:left w:val="single" w:sz="4" w:space="4" w:color="000000"/>
          <w:bottom w:val="single" w:sz="4" w:space="1" w:color="000000"/>
          <w:right w:val="single" w:sz="4" w:space="4" w:color="000000"/>
        </w:pBdr>
        <w:rPr/>
      </w:pPr>
      <w:r>
        <w:rPr>
          <w:sz w:val="48"/>
        </w:rPr>
        <w:t>Government &amp; Regulatory Affairs</w:t>
      </w:r>
      <w:r>
        <w:rPr>
          <w:sz w:val="48"/>
          <w:u w:val="single"/>
        </w:rPr>
        <w:t xml:space="preserve"> </w:t>
      </w:r>
      <w:r>
        <w:rPr>
          <w:sz w:val="48"/>
        </w:rPr>
        <w:t>Activities at 31 August 2001</w:t>
      </w:r>
    </w:p>
    <w:p>
      <w:pPr>
        <w:pStyle w:val="Normal"/>
        <w:rPr>
          <w:sz w:val="48"/>
        </w:rPr>
      </w:pPr>
      <w:r>
        <w:rPr>
          <w:sz w:val="48"/>
        </w:rPr>
      </w:r>
    </w:p>
    <w:p>
      <w:pPr>
        <w:pStyle w:val="Subtitle"/>
        <w:jc w:val="both"/>
        <w:rPr>
          <w:b/>
          <w:bCs/>
        </w:rPr>
      </w:pPr>
      <w:r>
        <w:rPr>
          <w:b/>
          <w:bCs/>
        </w:rPr>
        <w:t xml:space="preserve">FRANCE </w:t>
      </w:r>
      <w:r>
        <w:rPr>
          <w:sz w:val="24"/>
        </w:rPr>
        <w:t>(see Appendix I for more details)</w:t>
      </w:r>
    </w:p>
    <w:p>
      <w:pPr>
        <w:pStyle w:val="Heading3"/>
        <w:ind w:hanging="0" w:start="0"/>
        <w:jc w:val="both"/>
        <w:rPr/>
      </w:pPr>
      <w:r>
        <w:rPr/>
        <w:t>POWER</w:t>
      </w:r>
    </w:p>
    <w:p>
      <w:pPr>
        <w:pStyle w:val="Heading3"/>
        <w:ind w:hanging="0" w:start="0"/>
        <w:jc w:val="both"/>
        <w:rPr/>
      </w:pPr>
      <w:r>
        <w:rPr/>
        <w:t>Active</w:t>
      </w:r>
    </w:p>
    <w:p>
      <w:pPr>
        <w:pStyle w:val="Normal"/>
        <w:numPr>
          <w:ilvl w:val="0"/>
          <w:numId w:val="9"/>
        </w:numPr>
        <w:jc w:val="both"/>
        <w:rPr/>
      </w:pPr>
      <w:r>
        <w:rPr/>
        <w:t>Virtual Power Plant Capacity Auctions</w:t>
      </w:r>
    </w:p>
    <w:p>
      <w:pPr>
        <w:pStyle w:val="Normal"/>
        <w:numPr>
          <w:ilvl w:val="0"/>
          <w:numId w:val="9"/>
        </w:numPr>
        <w:jc w:val="both"/>
        <w:rPr/>
      </w:pPr>
      <w:r>
        <w:rPr/>
        <w:t>UK/France Interconnector Access</w:t>
      </w:r>
    </w:p>
    <w:p>
      <w:pPr>
        <w:pStyle w:val="Normal"/>
        <w:numPr>
          <w:ilvl w:val="0"/>
          <w:numId w:val="9"/>
        </w:numPr>
        <w:jc w:val="both"/>
        <w:rPr/>
      </w:pPr>
      <w:r>
        <w:rPr/>
        <w:t>Spain/France Interconnector Access</w:t>
      </w:r>
    </w:p>
    <w:p>
      <w:pPr>
        <w:pStyle w:val="Normal"/>
        <w:numPr>
          <w:ilvl w:val="0"/>
          <w:numId w:val="9"/>
        </w:numPr>
        <w:jc w:val="both"/>
        <w:rPr/>
      </w:pPr>
      <w:r>
        <w:rPr/>
        <w:t>Italy/France Interconnector Access</w:t>
      </w:r>
    </w:p>
    <w:p>
      <w:pPr>
        <w:pStyle w:val="Normal"/>
        <w:numPr>
          <w:ilvl w:val="0"/>
          <w:numId w:val="9"/>
        </w:numPr>
        <w:jc w:val="both"/>
        <w:rPr/>
      </w:pPr>
      <w:r>
        <w:rPr/>
        <w:t>Interconnection Access at “Non-Congested” French Borders</w:t>
      </w:r>
    </w:p>
    <w:p>
      <w:pPr>
        <w:pStyle w:val="Normal"/>
        <w:numPr>
          <w:ilvl w:val="0"/>
          <w:numId w:val="9"/>
        </w:numPr>
        <w:jc w:val="both"/>
        <w:rPr>
          <w:b/>
          <w:bCs/>
        </w:rPr>
      </w:pPr>
      <w:r>
        <w:rPr/>
        <w:t>Balancing Market and Intra Day Nominations</w:t>
      </w:r>
    </w:p>
    <w:p>
      <w:pPr>
        <w:pStyle w:val="Normal"/>
        <w:numPr>
          <w:ilvl w:val="0"/>
          <w:numId w:val="9"/>
        </w:numPr>
        <w:jc w:val="both"/>
        <w:rPr/>
      </w:pPr>
      <w:r>
        <w:rPr/>
        <w:t>Grid Code Participation direct and through EFET in RTE/CRE consultations</w:t>
      </w:r>
    </w:p>
    <w:p>
      <w:pPr>
        <w:pStyle w:val="Normal"/>
        <w:numPr>
          <w:ilvl w:val="0"/>
          <w:numId w:val="9"/>
        </w:numPr>
        <w:jc w:val="both"/>
        <w:rPr/>
      </w:pPr>
      <w:r>
        <w:rPr/>
        <w:t>Renewables</w:t>
      </w:r>
    </w:p>
    <w:p>
      <w:pPr>
        <w:pStyle w:val="Normal"/>
        <w:ind w:start="1080" w:end="0"/>
        <w:jc w:val="both"/>
        <w:rPr/>
      </w:pPr>
      <w:r>
        <w:rPr/>
      </w:r>
    </w:p>
    <w:p>
      <w:pPr>
        <w:pStyle w:val="Heading3"/>
        <w:ind w:hanging="0" w:start="0"/>
        <w:jc w:val="both"/>
        <w:rPr/>
      </w:pPr>
      <w:r>
        <w:rPr/>
        <w:t>Inactive</w:t>
      </w:r>
    </w:p>
    <w:p>
      <w:pPr>
        <w:pStyle w:val="Normal"/>
        <w:numPr>
          <w:ilvl w:val="0"/>
          <w:numId w:val="2"/>
        </w:numPr>
        <w:jc w:val="both"/>
        <w:rPr/>
      </w:pPr>
      <w:r>
        <w:rPr/>
        <w:t>Targeting Politicians and Other Influencers to Push:</w:t>
      </w:r>
    </w:p>
    <w:p>
      <w:pPr>
        <w:pStyle w:val="Normal"/>
        <w:ind w:firstLine="720" w:end="0"/>
        <w:jc w:val="both"/>
        <w:rPr/>
      </w:pPr>
      <w:r>
        <w:rPr/>
        <w:t>-100% market opening</w:t>
      </w:r>
    </w:p>
    <w:p>
      <w:pPr>
        <w:pStyle w:val="Normal"/>
        <w:ind w:firstLine="720" w:end="0"/>
        <w:jc w:val="both"/>
        <w:rPr/>
      </w:pPr>
      <w:r>
        <w:rPr/>
        <w:t>- TSO unbundling</w:t>
      </w:r>
    </w:p>
    <w:p>
      <w:pPr>
        <w:pStyle w:val="Normal"/>
        <w:ind w:firstLine="720" w:end="0"/>
        <w:jc w:val="both"/>
        <w:rPr/>
      </w:pPr>
      <w:r>
        <w:rPr/>
        <w:t>- Spin off of generation</w:t>
      </w:r>
    </w:p>
    <w:p>
      <w:pPr>
        <w:pStyle w:val="Normal"/>
        <w:ind w:firstLine="720" w:end="0"/>
        <w:jc w:val="both"/>
        <w:rPr/>
      </w:pPr>
      <w:r>
        <w:rPr/>
        <w:t>- Regulator’s role</w:t>
      </w:r>
    </w:p>
    <w:p>
      <w:pPr>
        <w:pStyle w:val="Normal"/>
        <w:numPr>
          <w:ilvl w:val="0"/>
          <w:numId w:val="2"/>
        </w:numPr>
        <w:jc w:val="both"/>
        <w:rPr/>
      </w:pPr>
      <w:r>
        <w:rPr/>
        <w:t>Intervening In:</w:t>
      </w:r>
    </w:p>
    <w:p>
      <w:pPr>
        <w:pStyle w:val="Normal"/>
        <w:ind w:firstLine="720" w:end="0"/>
        <w:jc w:val="both"/>
        <w:rPr>
          <w:sz w:val="28"/>
        </w:rPr>
      </w:pPr>
      <w:r>
        <w:rPr/>
        <w:t xml:space="preserve">- Tariffs for non-eligible customers </w:t>
      </w:r>
    </w:p>
    <w:p>
      <w:pPr>
        <w:pStyle w:val="Normal"/>
        <w:ind w:firstLine="720" w:end="0"/>
        <w:jc w:val="both"/>
        <w:rPr>
          <w:sz w:val="28"/>
        </w:rPr>
      </w:pPr>
      <w:r>
        <w:rPr/>
        <w:t>- Possible EC investigation of State Aid to EdF</w:t>
      </w:r>
    </w:p>
    <w:p>
      <w:pPr>
        <w:pStyle w:val="Normal"/>
        <w:jc w:val="both"/>
        <w:rPr>
          <w:sz w:val="28"/>
        </w:rPr>
      </w:pPr>
      <w:r>
        <w:rPr>
          <w:sz w:val="28"/>
        </w:rPr>
      </w:r>
    </w:p>
    <w:p>
      <w:pPr>
        <w:pStyle w:val="Heading2"/>
        <w:autoSpaceDE w:val="false"/>
        <w:ind w:hanging="0" w:start="0"/>
        <w:jc w:val="both"/>
        <w:rPr>
          <w:b w:val="false"/>
          <w:bCs w:val="false"/>
          <w:szCs w:val="20"/>
        </w:rPr>
      </w:pPr>
      <w:r>
        <w:rPr>
          <w:szCs w:val="20"/>
        </w:rPr>
        <w:t>SPAIN</w:t>
      </w:r>
      <w:r>
        <w:rPr>
          <w:b w:val="false"/>
          <w:bCs w:val="false"/>
          <w:szCs w:val="20"/>
        </w:rPr>
        <w:t xml:space="preserve"> </w:t>
      </w:r>
      <w:r>
        <w:rPr>
          <w:b w:val="false"/>
          <w:bCs w:val="false"/>
          <w:sz w:val="24"/>
        </w:rPr>
        <w:t>(see Appendix II for more details)</w:t>
      </w:r>
    </w:p>
    <w:p>
      <w:pPr>
        <w:pStyle w:val="Normal"/>
        <w:autoSpaceDE w:val="false"/>
        <w:jc w:val="both"/>
        <w:rPr>
          <w:b/>
          <w:bCs/>
          <w:szCs w:val="20"/>
        </w:rPr>
      </w:pPr>
      <w:r>
        <w:rPr>
          <w:b/>
          <w:bCs/>
          <w:szCs w:val="20"/>
        </w:rPr>
        <w:t xml:space="preserve">POWER </w:t>
      </w:r>
    </w:p>
    <w:p>
      <w:pPr>
        <w:pStyle w:val="Normal"/>
        <w:autoSpaceDE w:val="false"/>
        <w:jc w:val="both"/>
        <w:rPr>
          <w:szCs w:val="20"/>
        </w:rPr>
      </w:pPr>
      <w:r>
        <w:rPr>
          <w:b/>
          <w:bCs/>
          <w:szCs w:val="20"/>
        </w:rPr>
        <w:t>Active</w:t>
      </w:r>
    </w:p>
    <w:p>
      <w:pPr>
        <w:pStyle w:val="Normal"/>
        <w:numPr>
          <w:ilvl w:val="0"/>
          <w:numId w:val="2"/>
        </w:numPr>
        <w:autoSpaceDE w:val="false"/>
        <w:jc w:val="both"/>
        <w:rPr>
          <w:szCs w:val="20"/>
        </w:rPr>
      </w:pPr>
      <w:r>
        <w:rPr>
          <w:szCs w:val="20"/>
        </w:rPr>
        <w:t xml:space="preserve">Mismatch between Spanish and French allocation rules over the import capacity and litigation in front of the Power and Gas Regulator of one of these allocations. </w:t>
      </w:r>
    </w:p>
    <w:p>
      <w:pPr>
        <w:pStyle w:val="Normal"/>
        <w:numPr>
          <w:ilvl w:val="0"/>
          <w:numId w:val="2"/>
        </w:numPr>
        <w:autoSpaceDE w:val="false"/>
        <w:jc w:val="both"/>
        <w:rPr>
          <w:szCs w:val="20"/>
        </w:rPr>
      </w:pPr>
      <w:r>
        <w:rPr>
          <w:szCs w:val="20"/>
        </w:rPr>
        <w:t>New pool rules and decrease of public information</w:t>
      </w:r>
    </w:p>
    <w:p>
      <w:pPr>
        <w:pStyle w:val="Normal"/>
        <w:numPr>
          <w:ilvl w:val="0"/>
          <w:numId w:val="2"/>
        </w:numPr>
        <w:autoSpaceDE w:val="false"/>
        <w:jc w:val="both"/>
        <w:rPr>
          <w:szCs w:val="20"/>
        </w:rPr>
      </w:pPr>
      <w:r>
        <w:rPr>
          <w:szCs w:val="20"/>
        </w:rPr>
        <w:t>New trading arrangements including a term market and the ability of commercialisers to act as sellers in the pool</w:t>
      </w:r>
    </w:p>
    <w:p>
      <w:pPr>
        <w:pStyle w:val="Normal"/>
        <w:numPr>
          <w:ilvl w:val="0"/>
          <w:numId w:val="2"/>
        </w:numPr>
        <w:autoSpaceDE w:val="false"/>
        <w:jc w:val="both"/>
        <w:rPr>
          <w:szCs w:val="20"/>
        </w:rPr>
      </w:pPr>
      <w:r>
        <w:rPr>
          <w:szCs w:val="20"/>
        </w:rPr>
        <w:t>Regional opposition to the Arcos's development and dealing with remaining permits and authorisations.</w:t>
      </w:r>
    </w:p>
    <w:p>
      <w:pPr>
        <w:pStyle w:val="Normal"/>
        <w:numPr>
          <w:ilvl w:val="0"/>
          <w:numId w:val="2"/>
        </w:numPr>
        <w:autoSpaceDE w:val="false"/>
        <w:jc w:val="both"/>
        <w:rPr>
          <w:szCs w:val="20"/>
        </w:rPr>
      </w:pPr>
      <w:r>
        <w:rPr>
          <w:szCs w:val="20"/>
        </w:rPr>
        <w:t xml:space="preserve">Enron Directo. Completion of the TPA regime and resolution of metering issues. </w:t>
      </w:r>
    </w:p>
    <w:p>
      <w:pPr>
        <w:pStyle w:val="Heading4"/>
        <w:numPr>
          <w:ilvl w:val="0"/>
          <w:numId w:val="2"/>
        </w:numPr>
        <w:rPr>
          <w:b w:val="false"/>
          <w:bCs w:val="false"/>
          <w:sz w:val="24"/>
        </w:rPr>
      </w:pPr>
      <w:r>
        <w:rPr>
          <w:b w:val="false"/>
          <w:bCs w:val="false"/>
          <w:sz w:val="24"/>
        </w:rPr>
        <w:t>ACIE to become in January 2002 the representative of Traders on the Consultative Committe of the gas and power regulator. Our turn starts this date, and this will help us to improve our involvement with the board of the CNE but also to attend much many meetings.</w:t>
      </w:r>
    </w:p>
    <w:p>
      <w:pPr>
        <w:pStyle w:val="Heading4"/>
        <w:ind w:hanging="0" w:start="0"/>
        <w:rPr>
          <w:rFonts w:ascii="Arial" w:hAnsi="Arial" w:cs="Arial"/>
          <w:b w:val="false"/>
          <w:bCs w:val="false"/>
          <w:sz w:val="20"/>
        </w:rPr>
      </w:pPr>
      <w:r>
        <w:rPr>
          <w:rFonts w:cs="Arial" w:ascii="Arial" w:hAnsi="Arial"/>
          <w:b w:val="false"/>
          <w:bCs w:val="false"/>
          <w:sz w:val="20"/>
        </w:rPr>
      </w:r>
    </w:p>
    <w:p>
      <w:pPr>
        <w:pStyle w:val="Heading4"/>
        <w:ind w:hanging="0" w:start="0"/>
        <w:rPr/>
      </w:pPr>
      <w:r>
        <w:rPr/>
        <w:t xml:space="preserve">ITALY </w:t>
      </w:r>
      <w:r>
        <w:rPr>
          <w:b w:val="false"/>
          <w:bCs w:val="false"/>
          <w:sz w:val="24"/>
        </w:rPr>
        <w:t>(see Appendix II for more details)</w:t>
      </w:r>
    </w:p>
    <w:p>
      <w:pPr>
        <w:pStyle w:val="Normal"/>
        <w:autoSpaceDE w:val="false"/>
        <w:jc w:val="both"/>
        <w:rPr>
          <w:b/>
          <w:bCs/>
          <w:szCs w:val="20"/>
        </w:rPr>
      </w:pPr>
      <w:r>
        <w:rPr>
          <w:b/>
          <w:bCs/>
          <w:szCs w:val="20"/>
        </w:rPr>
        <w:t xml:space="preserve">POWER </w:t>
      </w:r>
    </w:p>
    <w:p>
      <w:pPr>
        <w:pStyle w:val="Normal"/>
        <w:autoSpaceDE w:val="false"/>
        <w:jc w:val="both"/>
        <w:rPr>
          <w:szCs w:val="20"/>
        </w:rPr>
      </w:pPr>
      <w:r>
        <w:rPr>
          <w:b/>
          <w:bCs/>
          <w:szCs w:val="20"/>
        </w:rPr>
        <w:t>Active</w:t>
      </w:r>
    </w:p>
    <w:p>
      <w:pPr>
        <w:pStyle w:val="Normal"/>
        <w:numPr>
          <w:ilvl w:val="0"/>
          <w:numId w:val="3"/>
        </w:numPr>
        <w:autoSpaceDE w:val="false"/>
        <w:jc w:val="both"/>
        <w:rPr>
          <w:szCs w:val="20"/>
        </w:rPr>
      </w:pPr>
      <w:r>
        <w:rPr>
          <w:szCs w:val="20"/>
        </w:rPr>
        <w:t>Rules for the allocation of import capacity for 2002</w:t>
      </w:r>
    </w:p>
    <w:p>
      <w:pPr>
        <w:pStyle w:val="Normal"/>
        <w:numPr>
          <w:ilvl w:val="0"/>
          <w:numId w:val="3"/>
        </w:numPr>
        <w:autoSpaceDE w:val="false"/>
        <w:jc w:val="both"/>
        <w:rPr>
          <w:szCs w:val="20"/>
        </w:rPr>
      </w:pPr>
      <w:r>
        <w:rPr>
          <w:szCs w:val="20"/>
        </w:rPr>
        <w:t>Transitiory arrangements towards the pool</w:t>
      </w:r>
    </w:p>
    <w:p>
      <w:pPr>
        <w:pStyle w:val="Normal"/>
        <w:numPr>
          <w:ilvl w:val="0"/>
          <w:numId w:val="3"/>
        </w:numPr>
        <w:autoSpaceDE w:val="false"/>
        <w:jc w:val="both"/>
        <w:rPr>
          <w:szCs w:val="20"/>
        </w:rPr>
      </w:pPr>
      <w:r>
        <w:rPr>
          <w:szCs w:val="20"/>
        </w:rPr>
        <w:t>Pool rules and associated information disclosure</w:t>
      </w:r>
    </w:p>
    <w:p>
      <w:pPr>
        <w:pStyle w:val="Normal"/>
        <w:numPr>
          <w:ilvl w:val="0"/>
          <w:numId w:val="3"/>
        </w:numPr>
        <w:autoSpaceDE w:val="false"/>
        <w:jc w:val="both"/>
        <w:rPr>
          <w:szCs w:val="20"/>
        </w:rPr>
      </w:pPr>
      <w:r>
        <w:rPr>
          <w:szCs w:val="20"/>
        </w:rPr>
        <w:t xml:space="preserve">Green certificates market. are structuring a regulatory advocacy and strategy on this front. </w:t>
      </w:r>
    </w:p>
    <w:p>
      <w:pPr>
        <w:pStyle w:val="Normal"/>
        <w:numPr>
          <w:ilvl w:val="0"/>
          <w:numId w:val="3"/>
        </w:numPr>
        <w:autoSpaceDE w:val="false"/>
        <w:jc w:val="both"/>
        <w:rPr>
          <w:szCs w:val="20"/>
        </w:rPr>
      </w:pPr>
      <w:r>
        <w:rPr>
          <w:szCs w:val="20"/>
        </w:rPr>
        <w:t>Definition of CHP and total (or partial) exemption from the contribution of 2 percent of green certs</w:t>
      </w:r>
    </w:p>
    <w:p>
      <w:pPr>
        <w:pStyle w:val="Normal"/>
        <w:numPr>
          <w:ilvl w:val="0"/>
          <w:numId w:val="3"/>
        </w:numPr>
        <w:autoSpaceDE w:val="false"/>
        <w:jc w:val="both"/>
        <w:rPr>
          <w:szCs w:val="20"/>
        </w:rPr>
      </w:pPr>
      <w:r>
        <w:rPr>
          <w:szCs w:val="20"/>
        </w:rPr>
        <w:t>Sarlux. Keep a close eye on govts. and regulators intentions to re-open the incentives for this CIP-6 plant</w:t>
      </w:r>
    </w:p>
    <w:p>
      <w:pPr>
        <w:pStyle w:val="Normal"/>
        <w:autoSpaceDE w:val="false"/>
        <w:jc w:val="both"/>
        <w:rPr>
          <w:szCs w:val="20"/>
        </w:rPr>
      </w:pPr>
      <w:r>
        <w:rPr>
          <w:szCs w:val="20"/>
        </w:rPr>
      </w:r>
    </w:p>
    <w:p>
      <w:pPr>
        <w:pStyle w:val="Heading5"/>
        <w:ind w:hanging="0" w:start="0"/>
        <w:rPr/>
      </w:pPr>
      <w:r>
        <w:rPr/>
        <w:t>Inactive</w:t>
      </w:r>
    </w:p>
    <w:p>
      <w:pPr>
        <w:pStyle w:val="Normal"/>
        <w:numPr>
          <w:ilvl w:val="0"/>
          <w:numId w:val="6"/>
        </w:numPr>
        <w:jc w:val="both"/>
        <w:rPr>
          <w:lang w:val="en-GB"/>
        </w:rPr>
      </w:pPr>
      <w:r>
        <w:rPr>
          <w:lang w:val="en-GB"/>
        </w:rPr>
        <w:t>Renewables’ third party access to the grid</w:t>
      </w:r>
    </w:p>
    <w:p>
      <w:pPr>
        <w:pStyle w:val="Normal"/>
        <w:numPr>
          <w:ilvl w:val="0"/>
          <w:numId w:val="6"/>
        </w:numPr>
        <w:jc w:val="both"/>
        <w:rPr>
          <w:lang w:val="en-GB"/>
        </w:rPr>
      </w:pPr>
      <w:r>
        <w:rPr>
          <w:lang w:val="en-GB"/>
        </w:rPr>
        <w:t>The role of a Single Buyer in Italian power market</w:t>
      </w:r>
    </w:p>
    <w:p>
      <w:pPr>
        <w:pStyle w:val="Normal"/>
        <w:numPr>
          <w:ilvl w:val="0"/>
          <w:numId w:val="6"/>
        </w:numPr>
        <w:jc w:val="both"/>
        <w:rPr>
          <w:lang w:val="en-GB"/>
        </w:rPr>
      </w:pPr>
      <w:r>
        <w:rPr>
          <w:lang w:val="en-GB"/>
        </w:rPr>
        <w:t>Stranded costs compensation scheme</w:t>
      </w:r>
    </w:p>
    <w:p>
      <w:pPr>
        <w:pStyle w:val="Normal"/>
        <w:numPr>
          <w:ilvl w:val="0"/>
          <w:numId w:val="6"/>
        </w:numPr>
        <w:jc w:val="both"/>
        <w:rPr>
          <w:lang w:val="en-GB"/>
        </w:rPr>
      </w:pPr>
      <w:r>
        <w:rPr>
          <w:lang w:val="en-GB"/>
        </w:rPr>
        <w:t>Reciprocity with third countries (Switzerland, Slovenia)</w:t>
      </w:r>
    </w:p>
    <w:p>
      <w:pPr>
        <w:pStyle w:val="Normal"/>
        <w:numPr>
          <w:ilvl w:val="0"/>
          <w:numId w:val="6"/>
        </w:numPr>
        <w:jc w:val="both"/>
        <w:rPr>
          <w:lang w:val="en-GB"/>
        </w:rPr>
      </w:pPr>
      <w:r>
        <w:rPr>
          <w:lang w:val="en-GB"/>
        </w:rPr>
        <w:t>Enel on-going divestments</w:t>
      </w:r>
    </w:p>
    <w:p>
      <w:pPr>
        <w:pStyle w:val="Normal"/>
        <w:numPr>
          <w:ilvl w:val="0"/>
          <w:numId w:val="6"/>
        </w:numPr>
        <w:autoSpaceDE w:val="false"/>
        <w:jc w:val="both"/>
        <w:rPr>
          <w:szCs w:val="20"/>
        </w:rPr>
      </w:pPr>
      <w:r>
        <w:rPr>
          <w:lang w:val="en-GB"/>
        </w:rPr>
        <w:t>Status of the so-called “CIP-6” plants benefiting from a special incentives regime in Italy.</w:t>
      </w:r>
    </w:p>
    <w:p>
      <w:pPr>
        <w:pStyle w:val="Heading1"/>
        <w:ind w:hanging="0" w:start="0"/>
        <w:jc w:val="both"/>
        <w:rPr>
          <w:b/>
          <w:bCs/>
          <w:sz w:val="24"/>
          <w:szCs w:val="20"/>
        </w:rPr>
      </w:pPr>
      <w:r>
        <w:rPr>
          <w:b/>
          <w:bCs/>
          <w:sz w:val="24"/>
          <w:szCs w:val="20"/>
        </w:rPr>
      </w:r>
    </w:p>
    <w:p>
      <w:pPr>
        <w:pStyle w:val="Heading1"/>
        <w:ind w:hanging="0" w:start="0"/>
        <w:jc w:val="both"/>
        <w:rPr>
          <w:b/>
          <w:bCs/>
        </w:rPr>
      </w:pPr>
      <w:r>
        <w:rPr>
          <w:b/>
          <w:bCs/>
        </w:rPr>
        <w:t>THE NETHERLANDS</w:t>
      </w:r>
    </w:p>
    <w:p>
      <w:pPr>
        <w:pStyle w:val="Heading1"/>
        <w:ind w:hanging="0" w:start="0"/>
        <w:jc w:val="both"/>
        <w:rPr>
          <w:b/>
          <w:bCs/>
          <w:sz w:val="24"/>
        </w:rPr>
      </w:pPr>
      <w:r>
        <w:rPr>
          <w:b/>
          <w:bCs/>
          <w:sz w:val="24"/>
        </w:rPr>
        <w:t>POWER</w:t>
      </w:r>
    </w:p>
    <w:p>
      <w:pPr>
        <w:pStyle w:val="Heading1"/>
        <w:ind w:hanging="0" w:start="0"/>
        <w:jc w:val="both"/>
        <w:rPr>
          <w:b/>
          <w:bCs/>
          <w:sz w:val="24"/>
        </w:rPr>
      </w:pPr>
      <w:r>
        <w:rPr>
          <w:b/>
          <w:bCs/>
          <w:sz w:val="24"/>
        </w:rPr>
        <w:t>Active</w:t>
      </w:r>
    </w:p>
    <w:p>
      <w:pPr>
        <w:pStyle w:val="Normal"/>
        <w:numPr>
          <w:ilvl w:val="0"/>
          <w:numId w:val="19"/>
        </w:numPr>
        <w:jc w:val="both"/>
        <w:rPr/>
      </w:pPr>
      <w:r>
        <w:rPr/>
        <w:t>TenneT/MEA/DTE pushing for a disclosure of market information to increase transparency in the OTC wholesale market and in APX</w:t>
      </w:r>
    </w:p>
    <w:p>
      <w:pPr>
        <w:pStyle w:val="Normal"/>
        <w:numPr>
          <w:ilvl w:val="0"/>
          <w:numId w:val="19"/>
        </w:numPr>
        <w:jc w:val="both"/>
        <w:rPr/>
      </w:pPr>
      <w:r>
        <w:rPr/>
        <w:t>Cross border transmission capacity allocation and information about available capacity: pushing complaints to NMa and EC commission concerning SEP LT reservation, distribution of commodity market and look of transparency. (also supporting residual litigation effect)</w:t>
      </w:r>
    </w:p>
    <w:p>
      <w:pPr>
        <w:pStyle w:val="Normal"/>
        <w:numPr>
          <w:ilvl w:val="0"/>
          <w:numId w:val="19"/>
        </w:numPr>
        <w:jc w:val="both"/>
        <w:rPr/>
      </w:pPr>
      <w:r>
        <w:rPr/>
        <w:t>VOEG chairmanship WG electricity</w:t>
      </w:r>
    </w:p>
    <w:p>
      <w:pPr>
        <w:pStyle w:val="Normal"/>
        <w:numPr>
          <w:ilvl w:val="0"/>
          <w:numId w:val="19"/>
        </w:numPr>
        <w:jc w:val="both"/>
        <w:rPr/>
      </w:pPr>
      <w:r>
        <w:rPr/>
        <w:t>Facilitating wholesale green imports into NL</w:t>
      </w:r>
    </w:p>
    <w:p>
      <w:pPr>
        <w:pStyle w:val="Normal"/>
        <w:numPr>
          <w:ilvl w:val="0"/>
          <w:numId w:val="19"/>
        </w:numPr>
        <w:jc w:val="both"/>
        <w:rPr/>
      </w:pPr>
      <w:r>
        <w:rPr/>
        <w:t>Opening Dutch green market/supporting both continental origination and Enron direct in concluding deals and linking retail and wholesale transactions</w:t>
      </w:r>
    </w:p>
    <w:p>
      <w:pPr>
        <w:pStyle w:val="Normal"/>
        <w:numPr>
          <w:ilvl w:val="0"/>
          <w:numId w:val="19"/>
        </w:numPr>
        <w:jc w:val="both"/>
        <w:rPr/>
      </w:pPr>
      <w:r>
        <w:rPr/>
        <w:t>Supporting preparations for siting of power plants; establishing requirements for environmental and other permits</w:t>
      </w:r>
    </w:p>
    <w:p>
      <w:pPr>
        <w:pStyle w:val="Normal"/>
        <w:numPr>
          <w:ilvl w:val="0"/>
          <w:numId w:val="19"/>
        </w:numPr>
        <w:jc w:val="both"/>
        <w:rPr/>
      </w:pPr>
      <w:r>
        <w:rPr/>
        <w:t>Supporting the start-up of Enron direct Netherlands</w:t>
      </w:r>
    </w:p>
    <w:p>
      <w:pPr>
        <w:pStyle w:val="Normal"/>
        <w:numPr>
          <w:ilvl w:val="0"/>
          <w:numId w:val="19"/>
        </w:numPr>
        <w:jc w:val="both"/>
        <w:rPr/>
      </w:pPr>
      <w:r>
        <w:rPr/>
        <w:t>Licence obligations, distribution network tariff risks, etc…</w:t>
      </w:r>
    </w:p>
    <w:p>
      <w:pPr>
        <w:pStyle w:val="Normal"/>
        <w:jc w:val="both"/>
        <w:rPr/>
      </w:pPr>
      <w:r>
        <w:rPr/>
      </w:r>
    </w:p>
    <w:p>
      <w:pPr>
        <w:pStyle w:val="Heading1"/>
        <w:ind w:hanging="0" w:start="0"/>
        <w:jc w:val="both"/>
        <w:rPr>
          <w:b/>
          <w:bCs/>
          <w:sz w:val="24"/>
        </w:rPr>
      </w:pPr>
      <w:r>
        <w:rPr>
          <w:b/>
          <w:bCs/>
          <w:sz w:val="24"/>
        </w:rPr>
        <w:t>Inactive</w:t>
      </w:r>
    </w:p>
    <w:p>
      <w:pPr>
        <w:pStyle w:val="Normal"/>
        <w:numPr>
          <w:ilvl w:val="0"/>
          <w:numId w:val="10"/>
        </w:numPr>
        <w:jc w:val="both"/>
        <w:rPr/>
      </w:pPr>
      <w:r>
        <w:rPr/>
        <w:t>Acceding to invitation to join working groups in EnergieNed</w:t>
      </w:r>
    </w:p>
    <w:p>
      <w:pPr>
        <w:pStyle w:val="Normal"/>
        <w:numPr>
          <w:ilvl w:val="0"/>
          <w:numId w:val="10"/>
        </w:numPr>
        <w:jc w:val="both"/>
        <w:rPr/>
      </w:pPr>
      <w:r>
        <w:rPr/>
        <w:t>Maintaining consultant dialogues with Members of Parliament</w:t>
      </w:r>
    </w:p>
    <w:p>
      <w:pPr>
        <w:pStyle w:val="Normal"/>
        <w:numPr>
          <w:ilvl w:val="0"/>
          <w:numId w:val="10"/>
        </w:numPr>
        <w:jc w:val="both"/>
        <w:rPr/>
      </w:pPr>
      <w:r>
        <w:rPr/>
        <w:t>Developing model for possible operation of a Benelux pricing zone with market splitting in Germany and France</w:t>
      </w:r>
    </w:p>
    <w:p>
      <w:pPr>
        <w:pStyle w:val="Normal"/>
        <w:jc w:val="both"/>
        <w:rPr/>
      </w:pPr>
      <w:r>
        <w:rPr/>
      </w:r>
    </w:p>
    <w:p>
      <w:pPr>
        <w:pStyle w:val="Heading1"/>
        <w:ind w:hanging="0" w:start="0"/>
        <w:jc w:val="both"/>
        <w:rPr>
          <w:b/>
          <w:bCs/>
        </w:rPr>
      </w:pPr>
      <w:r>
        <w:rPr>
          <w:b/>
          <w:bCs/>
        </w:rPr>
        <w:t>BELGIUM</w:t>
      </w:r>
    </w:p>
    <w:p>
      <w:pPr>
        <w:pStyle w:val="Heading3"/>
        <w:ind w:hanging="0" w:start="0"/>
        <w:jc w:val="both"/>
        <w:rPr/>
      </w:pPr>
      <w:r>
        <w:rPr/>
        <w:t>POWER</w:t>
      </w:r>
    </w:p>
    <w:p>
      <w:pPr>
        <w:pStyle w:val="Heading3"/>
        <w:ind w:hanging="0" w:start="0"/>
        <w:jc w:val="both"/>
        <w:rPr>
          <w:sz w:val="28"/>
        </w:rPr>
      </w:pPr>
      <w:r>
        <w:rPr/>
        <w:t>Active</w:t>
      </w:r>
    </w:p>
    <w:p>
      <w:pPr>
        <w:pStyle w:val="Normal"/>
        <w:numPr>
          <w:ilvl w:val="0"/>
          <w:numId w:val="24"/>
        </w:numPr>
        <w:jc w:val="both"/>
        <w:rPr/>
      </w:pPr>
      <w:r>
        <w:rPr/>
        <w:t>Pushing for rapid finalisation of designation of Elia as TSO, which will in turn facilitate implementation of grid code, elaboration of wholesale trading arrangements and empowerment of the regulator (CREG)</w:t>
      </w:r>
    </w:p>
    <w:p>
      <w:pPr>
        <w:pStyle w:val="Normal"/>
        <w:numPr>
          <w:ilvl w:val="0"/>
          <w:numId w:val="24"/>
        </w:numPr>
        <w:jc w:val="both"/>
        <w:rPr/>
      </w:pPr>
      <w:r>
        <w:rPr/>
        <w:t>Suggestions of amendments/additions to draft grid code – TSO duties, balancing and settlement arrangements, border capacity allocation methodology, connection agreements, etc… (Liaison with CREG and Minister’s Cabinet)</w:t>
      </w:r>
    </w:p>
    <w:p>
      <w:pPr>
        <w:pStyle w:val="Normal"/>
        <w:numPr>
          <w:ilvl w:val="0"/>
          <w:numId w:val="24"/>
        </w:numPr>
        <w:jc w:val="both"/>
        <w:rPr/>
      </w:pPr>
      <w:r>
        <w:rPr/>
        <w:t>Investigating plant siting requirements: connection conditions, environmental and planning criteria, local political attitudes</w:t>
      </w:r>
    </w:p>
    <w:p>
      <w:pPr>
        <w:pStyle w:val="Heading3"/>
        <w:ind w:hanging="0" w:start="0"/>
        <w:jc w:val="both"/>
        <w:rPr>
          <w:sz w:val="28"/>
        </w:rPr>
      </w:pPr>
      <w:r>
        <w:rPr/>
        <w:t>Inactive</w:t>
      </w:r>
    </w:p>
    <w:p>
      <w:pPr>
        <w:pStyle w:val="Normal"/>
        <w:numPr>
          <w:ilvl w:val="0"/>
          <w:numId w:val="20"/>
        </w:numPr>
        <w:jc w:val="both"/>
        <w:rPr/>
      </w:pPr>
      <w:r>
        <w:rPr/>
        <w:t>Talking to Belgian Members of Parliament and regional governments</w:t>
      </w:r>
    </w:p>
    <w:p>
      <w:pPr>
        <w:pStyle w:val="Normal"/>
        <w:numPr>
          <w:ilvl w:val="0"/>
          <w:numId w:val="20"/>
        </w:numPr>
        <w:jc w:val="both"/>
        <w:rPr/>
      </w:pPr>
      <w:r>
        <w:rPr/>
        <w:t>Providing detailed information to DG TREN of EC Commission to back up Directive infringement action (after meeting in June)</w:t>
      </w:r>
    </w:p>
    <w:p>
      <w:pPr>
        <w:pStyle w:val="Normal"/>
        <w:ind w:start="1080" w:end="0"/>
        <w:jc w:val="both"/>
        <w:rPr/>
      </w:pPr>
      <w:r>
        <w:rPr/>
      </w:r>
    </w:p>
    <w:p>
      <w:pPr>
        <w:pStyle w:val="Heading2"/>
        <w:ind w:hanging="0" w:start="0"/>
        <w:jc w:val="both"/>
        <w:rPr/>
      </w:pPr>
      <w:r>
        <w:rPr/>
        <w:t>CROSS BORDER/EC</w:t>
      </w:r>
    </w:p>
    <w:p>
      <w:pPr>
        <w:pStyle w:val="Heading3"/>
        <w:ind w:hanging="0" w:start="0"/>
        <w:jc w:val="both"/>
        <w:rPr/>
      </w:pPr>
      <w:r>
        <w:rPr/>
        <w:t>POWER</w:t>
      </w:r>
    </w:p>
    <w:p>
      <w:pPr>
        <w:pStyle w:val="Heading1"/>
        <w:ind w:hanging="0" w:start="0"/>
        <w:jc w:val="both"/>
        <w:rPr>
          <w:b/>
          <w:bCs/>
          <w:sz w:val="24"/>
        </w:rPr>
      </w:pPr>
      <w:r>
        <w:rPr>
          <w:b/>
          <w:bCs/>
          <w:sz w:val="24"/>
        </w:rPr>
        <w:t>Active</w:t>
      </w:r>
    </w:p>
    <w:p>
      <w:pPr>
        <w:pStyle w:val="Normal"/>
        <w:numPr>
          <w:ilvl w:val="0"/>
          <w:numId w:val="15"/>
        </w:numPr>
        <w:jc w:val="both"/>
        <w:rPr/>
      </w:pPr>
      <w:r>
        <w:rPr/>
        <w:t>Resisting Cross Border, Transaction-Related Transmission Charging</w:t>
      </w:r>
    </w:p>
    <w:p>
      <w:pPr>
        <w:pStyle w:val="Normal"/>
        <w:numPr>
          <w:ilvl w:val="1"/>
          <w:numId w:val="15"/>
        </w:numPr>
        <w:jc w:val="both"/>
        <w:rPr/>
      </w:pPr>
      <w:r>
        <w:rPr/>
        <w:t>Leading the EFET resistance through Florence Forum regulating process and counterparty action inside Germany</w:t>
      </w:r>
    </w:p>
    <w:p>
      <w:pPr>
        <w:pStyle w:val="Normal"/>
        <w:numPr>
          <w:ilvl w:val="0"/>
          <w:numId w:val="15"/>
        </w:numPr>
        <w:jc w:val="both"/>
        <w:rPr/>
      </w:pPr>
      <w:r>
        <w:rPr/>
        <w:t>Fighting Incumbents’ Reservation of Capacity for LT Contracts at Border</w:t>
        <w:tab/>
        <w:t xml:space="preserve"> Interconnection Points</w:t>
      </w:r>
    </w:p>
    <w:p>
      <w:pPr>
        <w:pStyle w:val="Normal"/>
        <w:numPr>
          <w:ilvl w:val="1"/>
          <w:numId w:val="15"/>
        </w:numPr>
        <w:jc w:val="both"/>
        <w:rPr/>
      </w:pPr>
      <w:r>
        <w:rPr/>
        <w:t>Interventions in NL, Spanish and Italian border capacity reservation</w:t>
      </w:r>
    </w:p>
    <w:p>
      <w:pPr>
        <w:pStyle w:val="Normal"/>
        <w:ind w:firstLine="360" w:start="1080" w:end="0"/>
        <w:jc w:val="both"/>
        <w:rPr/>
      </w:pPr>
      <w:r>
        <w:rPr/>
        <w:t>investigations</w:t>
      </w:r>
    </w:p>
    <w:p>
      <w:pPr>
        <w:pStyle w:val="Normal"/>
        <w:numPr>
          <w:ilvl w:val="0"/>
          <w:numId w:val="8"/>
        </w:numPr>
        <w:jc w:val="both"/>
        <w:rPr/>
      </w:pPr>
      <w:r>
        <w:rPr/>
        <w:t>Advocating Hierarchy of Market Based Constrained Transmission Capacity Allocation Methods</w:t>
      </w:r>
    </w:p>
    <w:p>
      <w:pPr>
        <w:pStyle w:val="Normal"/>
        <w:numPr>
          <w:ilvl w:val="1"/>
          <w:numId w:val="15"/>
        </w:numPr>
        <w:jc w:val="both"/>
        <w:rPr/>
      </w:pPr>
      <w:r>
        <w:rPr/>
        <w:t>Contributions to debate, through EFET papers, conference speeches,</w:t>
      </w:r>
    </w:p>
    <w:p>
      <w:pPr>
        <w:pStyle w:val="Normal"/>
        <w:ind w:firstLine="360" w:start="1080" w:end="0"/>
        <w:jc w:val="both"/>
        <w:rPr/>
      </w:pPr>
      <w:r>
        <w:rPr/>
        <w:t>consultations with Commission and national regulators</w:t>
      </w:r>
    </w:p>
    <w:p>
      <w:pPr>
        <w:pStyle w:val="Normal"/>
        <w:ind w:firstLine="720" w:start="360" w:end="0"/>
        <w:jc w:val="both"/>
        <w:rPr/>
      </w:pPr>
      <w:r>
        <w:rPr/>
        <w:t xml:space="preserve">- </w:t>
        <w:tab/>
        <w:t>Elaboration of implicit auction and market splitting models</w:t>
      </w:r>
    </w:p>
    <w:p>
      <w:pPr>
        <w:pStyle w:val="Normal"/>
        <w:numPr>
          <w:ilvl w:val="0"/>
          <w:numId w:val="8"/>
        </w:numPr>
        <w:jc w:val="both"/>
        <w:rPr/>
      </w:pPr>
      <w:r>
        <w:rPr/>
        <w:t>Promoting Acceleration and Deepening of Electricity Liberalisation</w:t>
      </w:r>
    </w:p>
    <w:p>
      <w:pPr>
        <w:pStyle w:val="Normal"/>
        <w:numPr>
          <w:ilvl w:val="1"/>
          <w:numId w:val="15"/>
        </w:numPr>
        <w:jc w:val="both"/>
        <w:rPr/>
      </w:pPr>
      <w:r>
        <w:rPr/>
        <w:t>Giving input to Commission, MEPs and Member State governments</w:t>
      </w:r>
    </w:p>
    <w:p>
      <w:pPr>
        <w:pStyle w:val="Normal"/>
        <w:ind w:firstLine="360" w:start="1080" w:end="0"/>
        <w:jc w:val="both"/>
        <w:rPr/>
      </w:pPr>
      <w:r>
        <w:rPr/>
        <w:t>regarding development of wholesale markets</w:t>
      </w:r>
    </w:p>
    <w:p>
      <w:pPr>
        <w:pStyle w:val="Normal"/>
        <w:numPr>
          <w:ilvl w:val="1"/>
          <w:numId w:val="15"/>
        </w:numPr>
        <w:jc w:val="both"/>
        <w:rPr/>
      </w:pPr>
      <w:r>
        <w:rPr/>
        <w:t>Elaborating arguments to support 100% market opening and complete</w:t>
      </w:r>
    </w:p>
    <w:p>
      <w:pPr>
        <w:pStyle w:val="Normal"/>
        <w:ind w:firstLine="360" w:start="1080" w:end="0"/>
        <w:jc w:val="both"/>
        <w:rPr/>
      </w:pPr>
      <w:r>
        <w:rPr/>
        <w:t>unbundling</w:t>
      </w:r>
    </w:p>
    <w:p>
      <w:pPr>
        <w:pStyle w:val="Normal"/>
        <w:jc w:val="both"/>
        <w:rPr>
          <w:sz w:val="28"/>
        </w:rPr>
      </w:pPr>
      <w:r>
        <w:rPr>
          <w:sz w:val="28"/>
        </w:rPr>
      </w:r>
    </w:p>
    <w:p>
      <w:pPr>
        <w:pStyle w:val="Heading1"/>
        <w:ind w:hanging="0" w:start="0"/>
        <w:jc w:val="both"/>
        <w:rPr>
          <w:b/>
          <w:bCs/>
          <w:sz w:val="24"/>
        </w:rPr>
      </w:pPr>
      <w:r>
        <w:rPr>
          <w:b/>
          <w:bCs/>
          <w:sz w:val="24"/>
        </w:rPr>
        <w:t>Inactive</w:t>
      </w:r>
    </w:p>
    <w:p>
      <w:pPr>
        <w:pStyle w:val="Normal"/>
        <w:numPr>
          <w:ilvl w:val="0"/>
          <w:numId w:val="8"/>
        </w:numPr>
        <w:jc w:val="both"/>
        <w:rPr/>
      </w:pPr>
      <w:r>
        <w:rPr/>
        <w:t>Interconnector Access Complaints/Proceedings with EC</w:t>
      </w:r>
    </w:p>
    <w:p>
      <w:pPr>
        <w:pStyle w:val="Normal"/>
        <w:ind w:firstLine="720" w:end="0"/>
        <w:jc w:val="both"/>
        <w:rPr/>
      </w:pPr>
      <w:r>
        <w:rPr/>
        <w:t>- Norway/Netherlands cable (not yet built)</w:t>
      </w:r>
    </w:p>
    <w:p>
      <w:pPr>
        <w:pStyle w:val="Normal"/>
        <w:ind w:firstLine="720" w:end="0"/>
        <w:jc w:val="both"/>
        <w:rPr/>
      </w:pPr>
      <w:r>
        <w:rPr/>
        <w:t>- SwePol (beyond trying Swedish authorities)</w:t>
      </w:r>
    </w:p>
    <w:p>
      <w:pPr>
        <w:pStyle w:val="Normal"/>
        <w:ind w:firstLine="720" w:end="0"/>
        <w:jc w:val="both"/>
        <w:rPr/>
      </w:pPr>
      <w:r>
        <w:rPr/>
        <w:t>- Italy-Greece interconnector</w:t>
      </w:r>
    </w:p>
    <w:p>
      <w:pPr>
        <w:pStyle w:val="Normal"/>
        <w:ind w:firstLine="720" w:end="0"/>
        <w:jc w:val="both"/>
        <w:rPr/>
      </w:pPr>
      <w:r>
        <w:rPr/>
        <w:t>- Baltic Cable</w:t>
      </w:r>
    </w:p>
    <w:p>
      <w:pPr>
        <w:pStyle w:val="Normal"/>
        <w:numPr>
          <w:ilvl w:val="0"/>
          <w:numId w:val="8"/>
        </w:numPr>
        <w:jc w:val="both"/>
        <w:rPr/>
      </w:pPr>
      <w:r>
        <w:rPr/>
        <w:t>Interconnector LT Reservation Policy at EU Level</w:t>
      </w:r>
    </w:p>
    <w:p>
      <w:pPr>
        <w:pStyle w:val="Normal"/>
        <w:numPr>
          <w:ilvl w:val="1"/>
          <w:numId w:val="15"/>
        </w:numPr>
        <w:jc w:val="both"/>
        <w:rPr/>
      </w:pPr>
      <w:r>
        <w:rPr/>
        <w:t>Submission of comprehensive view on criteria for legitimate reservation, in anticipation of Commission Notice</w:t>
      </w:r>
    </w:p>
    <w:p>
      <w:pPr>
        <w:pStyle w:val="Normal"/>
        <w:numPr>
          <w:ilvl w:val="0"/>
          <w:numId w:val="8"/>
        </w:numPr>
        <w:jc w:val="both"/>
        <w:rPr>
          <w:b/>
          <w:bCs/>
        </w:rPr>
      </w:pPr>
      <w:r>
        <w:rPr/>
        <w:t>Numerous Conference Speeches, Intergovernmental Symposia, etc…</w:t>
      </w:r>
    </w:p>
    <w:p>
      <w:pPr>
        <w:pStyle w:val="Normal"/>
        <w:jc w:val="both"/>
        <w:rPr>
          <w:b/>
          <w:bCs/>
          <w:sz w:val="28"/>
        </w:rPr>
      </w:pPr>
      <w:r>
        <w:rPr>
          <w:b/>
          <w:bCs/>
          <w:sz w:val="28"/>
        </w:rPr>
      </w:r>
    </w:p>
    <w:p>
      <w:pPr>
        <w:pStyle w:val="Heading1"/>
        <w:ind w:hanging="0" w:start="0"/>
        <w:jc w:val="both"/>
        <w:rPr>
          <w:b/>
          <w:bCs/>
        </w:rPr>
      </w:pPr>
      <w:r>
        <w:rPr>
          <w:b/>
          <w:bCs/>
        </w:rPr>
        <w:t xml:space="preserve">FRANCE </w:t>
      </w:r>
    </w:p>
    <w:p>
      <w:pPr>
        <w:pStyle w:val="Heading3"/>
        <w:ind w:hanging="0" w:start="0"/>
        <w:jc w:val="both"/>
        <w:rPr>
          <w:lang w:val="en-GB"/>
        </w:rPr>
      </w:pPr>
      <w:r>
        <w:rPr>
          <w:lang w:val="en-GB"/>
        </w:rPr>
        <w:t>GAS</w:t>
      </w:r>
    </w:p>
    <w:p>
      <w:pPr>
        <w:pStyle w:val="Heading3"/>
        <w:ind w:hanging="0" w:start="0"/>
        <w:jc w:val="both"/>
        <w:rPr>
          <w:lang w:val="en-GB"/>
        </w:rPr>
      </w:pPr>
      <w:r>
        <w:rPr>
          <w:lang w:val="en-GB"/>
        </w:rPr>
        <w:t>Active</w:t>
      </w:r>
    </w:p>
    <w:p>
      <w:pPr>
        <w:pStyle w:val="Normal"/>
        <w:numPr>
          <w:ilvl w:val="0"/>
          <w:numId w:val="11"/>
        </w:numPr>
        <w:jc w:val="both"/>
        <w:rPr>
          <w:lang w:val="en-GB"/>
        </w:rPr>
      </w:pPr>
      <w:r>
        <w:rPr>
          <w:lang w:val="en-GB"/>
        </w:rPr>
        <w:t>Get access to Dunkirk and other entry points</w:t>
      </w:r>
    </w:p>
    <w:p>
      <w:pPr>
        <w:pStyle w:val="Normal"/>
        <w:numPr>
          <w:ilvl w:val="0"/>
          <w:numId w:val="11"/>
        </w:numPr>
        <w:jc w:val="both"/>
        <w:rPr>
          <w:lang w:val="en-GB"/>
        </w:rPr>
      </w:pPr>
      <w:r>
        <w:rPr>
          <w:lang w:val="en-GB"/>
        </w:rPr>
        <w:t>Improve transportation access terms</w:t>
      </w:r>
    </w:p>
    <w:p>
      <w:pPr>
        <w:pStyle w:val="Normal"/>
        <w:numPr>
          <w:ilvl w:val="1"/>
          <w:numId w:val="11"/>
        </w:numPr>
        <w:jc w:val="both"/>
        <w:rPr>
          <w:lang w:val="en-GB"/>
        </w:rPr>
      </w:pPr>
      <w:r>
        <w:rPr>
          <w:lang w:val="en-GB"/>
        </w:rPr>
        <w:t>Flexible renomination rights</w:t>
      </w:r>
    </w:p>
    <w:p>
      <w:pPr>
        <w:pStyle w:val="Normal"/>
        <w:numPr>
          <w:ilvl w:val="1"/>
          <w:numId w:val="11"/>
        </w:numPr>
        <w:jc w:val="both"/>
        <w:rPr>
          <w:lang w:val="en-GB"/>
        </w:rPr>
      </w:pPr>
      <w:r>
        <w:rPr>
          <w:lang w:val="en-GB"/>
        </w:rPr>
        <w:t>Remove point-to-point</w:t>
      </w:r>
    </w:p>
    <w:p>
      <w:pPr>
        <w:pStyle w:val="Normal"/>
        <w:numPr>
          <w:ilvl w:val="0"/>
          <w:numId w:val="11"/>
        </w:numPr>
        <w:jc w:val="both"/>
        <w:rPr>
          <w:lang w:val="en-GB"/>
        </w:rPr>
      </w:pPr>
      <w:r>
        <w:rPr>
          <w:lang w:val="en-GB"/>
        </w:rPr>
        <w:t>Quality conversion</w:t>
      </w:r>
    </w:p>
    <w:p>
      <w:pPr>
        <w:pStyle w:val="Normal"/>
        <w:numPr>
          <w:ilvl w:val="0"/>
          <w:numId w:val="11"/>
        </w:numPr>
        <w:jc w:val="both"/>
        <w:rPr>
          <w:lang w:val="en-GB"/>
        </w:rPr>
      </w:pPr>
      <w:r>
        <w:rPr>
          <w:lang w:val="en-GB"/>
        </w:rPr>
        <w:t>Remove discriminatory access to storage</w:t>
      </w:r>
    </w:p>
    <w:p>
      <w:pPr>
        <w:pStyle w:val="Normal"/>
        <w:numPr>
          <w:ilvl w:val="0"/>
          <w:numId w:val="11"/>
        </w:numPr>
        <w:jc w:val="both"/>
        <w:rPr>
          <w:lang w:val="en-GB"/>
        </w:rPr>
      </w:pPr>
      <w:r>
        <w:rPr>
          <w:lang w:val="en-GB"/>
        </w:rPr>
        <w:t>Improve transparency of GDF tariffs</w:t>
      </w:r>
    </w:p>
    <w:p>
      <w:pPr>
        <w:pStyle w:val="Normal"/>
        <w:jc w:val="both"/>
        <w:rPr>
          <w:lang w:val="en-GB"/>
        </w:rPr>
      </w:pPr>
      <w:r>
        <w:rPr>
          <w:lang w:val="en-GB"/>
        </w:rPr>
      </w:r>
    </w:p>
    <w:p>
      <w:pPr>
        <w:pStyle w:val="Heading1"/>
        <w:ind w:hanging="0" w:start="0"/>
        <w:jc w:val="both"/>
        <w:rPr>
          <w:b/>
          <w:bCs/>
        </w:rPr>
      </w:pPr>
      <w:r>
        <w:rPr>
          <w:b/>
          <w:bCs/>
        </w:rPr>
        <w:t>NETHERLANDS</w:t>
      </w:r>
    </w:p>
    <w:p>
      <w:pPr>
        <w:pStyle w:val="Heading3"/>
        <w:ind w:hanging="0" w:start="0"/>
        <w:jc w:val="both"/>
        <w:rPr>
          <w:lang w:val="en-GB"/>
        </w:rPr>
      </w:pPr>
      <w:r>
        <w:rPr>
          <w:lang w:val="en-GB"/>
        </w:rPr>
        <w:t>GAS</w:t>
      </w:r>
    </w:p>
    <w:p>
      <w:pPr>
        <w:pStyle w:val="Heading3"/>
        <w:ind w:hanging="0" w:start="0"/>
        <w:jc w:val="both"/>
        <w:rPr>
          <w:lang w:val="en-GB"/>
        </w:rPr>
      </w:pPr>
      <w:r>
        <w:rPr>
          <w:lang w:val="en-GB"/>
        </w:rPr>
        <w:t>Active</w:t>
      </w:r>
    </w:p>
    <w:p>
      <w:pPr>
        <w:pStyle w:val="Normal"/>
        <w:numPr>
          <w:ilvl w:val="0"/>
          <w:numId w:val="18"/>
        </w:numPr>
        <w:jc w:val="both"/>
        <w:rPr>
          <w:lang w:val="en-GB"/>
        </w:rPr>
      </w:pPr>
      <w:r>
        <w:rPr>
          <w:lang w:val="en-GB"/>
        </w:rPr>
        <w:t>Promote improved access terms through Gas Act Guidelines</w:t>
      </w:r>
    </w:p>
    <w:p>
      <w:pPr>
        <w:pStyle w:val="Normal"/>
        <w:numPr>
          <w:ilvl w:val="1"/>
          <w:numId w:val="18"/>
        </w:numPr>
        <w:jc w:val="both"/>
        <w:rPr>
          <w:lang w:val="en-GB"/>
        </w:rPr>
      </w:pPr>
      <w:r>
        <w:rPr>
          <w:lang w:val="en-GB"/>
        </w:rPr>
        <w:t>Flexibility services</w:t>
      </w:r>
    </w:p>
    <w:p>
      <w:pPr>
        <w:pStyle w:val="Normal"/>
        <w:numPr>
          <w:ilvl w:val="1"/>
          <w:numId w:val="18"/>
        </w:numPr>
        <w:jc w:val="both"/>
        <w:rPr>
          <w:lang w:val="en-GB"/>
        </w:rPr>
      </w:pPr>
      <w:r>
        <w:rPr>
          <w:lang w:val="en-GB"/>
        </w:rPr>
        <w:t>Storage access</w:t>
      </w:r>
    </w:p>
    <w:p>
      <w:pPr>
        <w:pStyle w:val="Normal"/>
        <w:numPr>
          <w:ilvl w:val="1"/>
          <w:numId w:val="18"/>
        </w:numPr>
        <w:jc w:val="both"/>
        <w:rPr>
          <w:lang w:val="en-GB"/>
        </w:rPr>
      </w:pPr>
      <w:r>
        <w:rPr>
          <w:lang w:val="en-GB"/>
        </w:rPr>
        <w:t>Promote entry/exit services</w:t>
      </w:r>
    </w:p>
    <w:p>
      <w:pPr>
        <w:pStyle w:val="Normal"/>
        <w:numPr>
          <w:ilvl w:val="0"/>
          <w:numId w:val="18"/>
        </w:numPr>
        <w:jc w:val="both"/>
        <w:rPr>
          <w:lang w:val="en-GB"/>
        </w:rPr>
      </w:pPr>
      <w:r>
        <w:rPr>
          <w:lang w:val="en-GB"/>
        </w:rPr>
        <w:t>Reduce / limit tariff proposals proposed by Gasunie</w:t>
      </w:r>
    </w:p>
    <w:p>
      <w:pPr>
        <w:pStyle w:val="Normal"/>
        <w:numPr>
          <w:ilvl w:val="0"/>
          <w:numId w:val="18"/>
        </w:numPr>
        <w:jc w:val="both"/>
        <w:rPr>
          <w:lang w:val="en-GB"/>
        </w:rPr>
      </w:pPr>
      <w:r>
        <w:rPr>
          <w:lang w:val="en-GB"/>
        </w:rPr>
        <w:t>Broadening support from consumer groups such as VEMW/VNCI</w:t>
      </w:r>
    </w:p>
    <w:p>
      <w:pPr>
        <w:pStyle w:val="Normal"/>
        <w:jc w:val="both"/>
        <w:rPr>
          <w:lang w:val="en-GB"/>
        </w:rPr>
      </w:pPr>
      <w:r>
        <w:rPr>
          <w:lang w:val="en-GB"/>
        </w:rPr>
      </w:r>
    </w:p>
    <w:p>
      <w:pPr>
        <w:pStyle w:val="Heading3"/>
        <w:ind w:hanging="0" w:start="0"/>
        <w:jc w:val="both"/>
        <w:rPr>
          <w:lang w:val="en-GB"/>
        </w:rPr>
      </w:pPr>
      <w:r>
        <w:rPr>
          <w:lang w:val="en-GB"/>
        </w:rPr>
        <w:t>Inactive</w:t>
      </w:r>
    </w:p>
    <w:p>
      <w:pPr>
        <w:pStyle w:val="Normal"/>
        <w:numPr>
          <w:ilvl w:val="0"/>
          <w:numId w:val="12"/>
        </w:numPr>
        <w:jc w:val="both"/>
        <w:rPr>
          <w:lang w:val="en-GB"/>
        </w:rPr>
      </w:pPr>
      <w:r>
        <w:rPr>
          <w:lang w:val="en-GB"/>
        </w:rPr>
        <w:t>Invited to address gas seminar</w:t>
      </w:r>
    </w:p>
    <w:p>
      <w:pPr>
        <w:pStyle w:val="Normal"/>
        <w:ind w:start="360" w:end="0"/>
        <w:jc w:val="both"/>
        <w:rPr>
          <w:lang w:val="en-GB"/>
        </w:rPr>
      </w:pPr>
      <w:r>
        <w:rPr>
          <w:lang w:val="en-GB"/>
        </w:rPr>
      </w:r>
    </w:p>
    <w:p>
      <w:pPr>
        <w:pStyle w:val="Heading1"/>
        <w:ind w:hanging="0" w:start="0"/>
        <w:jc w:val="both"/>
        <w:rPr>
          <w:b/>
          <w:bCs/>
        </w:rPr>
      </w:pPr>
      <w:r>
        <w:rPr>
          <w:b/>
          <w:bCs/>
        </w:rPr>
        <w:t>NORWAY</w:t>
      </w:r>
    </w:p>
    <w:p>
      <w:pPr>
        <w:pStyle w:val="Heading3"/>
        <w:ind w:hanging="0" w:start="0"/>
        <w:jc w:val="both"/>
        <w:rPr>
          <w:lang w:val="en-GB"/>
        </w:rPr>
      </w:pPr>
      <w:r>
        <w:rPr>
          <w:lang w:val="en-GB"/>
        </w:rPr>
        <w:t>GAS</w:t>
      </w:r>
    </w:p>
    <w:p>
      <w:pPr>
        <w:pStyle w:val="Heading3"/>
        <w:ind w:hanging="0" w:start="0"/>
        <w:jc w:val="both"/>
        <w:rPr>
          <w:lang w:val="en-GB"/>
        </w:rPr>
      </w:pPr>
      <w:r>
        <w:rPr>
          <w:lang w:val="en-GB"/>
        </w:rPr>
        <w:t>Active</w:t>
      </w:r>
    </w:p>
    <w:p>
      <w:pPr>
        <w:pStyle w:val="Normal"/>
        <w:numPr>
          <w:ilvl w:val="0"/>
          <w:numId w:val="7"/>
        </w:numPr>
        <w:jc w:val="both"/>
        <w:rPr>
          <w:lang w:val="en-GB"/>
        </w:rPr>
      </w:pPr>
      <w:r>
        <w:rPr>
          <w:lang w:val="en-GB"/>
        </w:rPr>
        <w:t xml:space="preserve">Identify impact of GFU abolition </w:t>
      </w:r>
    </w:p>
    <w:p>
      <w:pPr>
        <w:pStyle w:val="Normal"/>
        <w:ind w:start="360" w:end="0"/>
        <w:jc w:val="both"/>
        <w:rPr>
          <w:lang w:val="en-GB"/>
        </w:rPr>
      </w:pPr>
      <w:r>
        <w:rPr>
          <w:lang w:val="en-GB"/>
        </w:rPr>
      </w:r>
    </w:p>
    <w:p>
      <w:pPr>
        <w:pStyle w:val="Heading3"/>
        <w:ind w:hanging="0" w:start="0"/>
        <w:jc w:val="both"/>
        <w:rPr>
          <w:lang w:val="en-GB"/>
        </w:rPr>
      </w:pPr>
      <w:r>
        <w:rPr>
          <w:lang w:val="en-GB"/>
        </w:rPr>
        <w:t>Inactive</w:t>
      </w:r>
    </w:p>
    <w:p>
      <w:pPr>
        <w:pStyle w:val="Normal"/>
        <w:numPr>
          <w:ilvl w:val="0"/>
          <w:numId w:val="7"/>
        </w:numPr>
        <w:jc w:val="both"/>
        <w:rPr>
          <w:lang w:val="en-GB"/>
        </w:rPr>
      </w:pPr>
      <w:r>
        <w:rPr>
          <w:lang w:val="en-GB"/>
        </w:rPr>
        <w:t>Promote transposition of Gas Directive</w:t>
      </w:r>
    </w:p>
    <w:p>
      <w:pPr>
        <w:pStyle w:val="Normal"/>
        <w:numPr>
          <w:ilvl w:val="0"/>
          <w:numId w:val="7"/>
        </w:numPr>
        <w:jc w:val="both"/>
        <w:rPr>
          <w:lang w:val="en-GB"/>
        </w:rPr>
      </w:pPr>
      <w:r>
        <w:rPr>
          <w:lang w:val="en-GB"/>
        </w:rPr>
        <w:t>Ensure TPA to offshore pipelines favourable to Enron</w:t>
      </w:r>
    </w:p>
    <w:p>
      <w:pPr>
        <w:pStyle w:val="Normal"/>
        <w:jc w:val="both"/>
        <w:rPr>
          <w:lang w:val="en-GB"/>
        </w:rPr>
      </w:pPr>
      <w:r>
        <w:rPr>
          <w:lang w:val="en-GB"/>
        </w:rPr>
      </w:r>
    </w:p>
    <w:p>
      <w:pPr>
        <w:pStyle w:val="Heading1"/>
        <w:ind w:hanging="0" w:start="0"/>
        <w:jc w:val="both"/>
        <w:rPr>
          <w:b/>
          <w:bCs/>
        </w:rPr>
      </w:pPr>
      <w:r>
        <w:rPr>
          <w:b/>
          <w:bCs/>
        </w:rPr>
        <w:t xml:space="preserve">ITALY </w:t>
      </w:r>
      <w:r>
        <w:rPr>
          <w:sz w:val="24"/>
        </w:rPr>
        <w:t>(see Appendix II for more details)</w:t>
      </w:r>
    </w:p>
    <w:p>
      <w:pPr>
        <w:pStyle w:val="Heading3"/>
        <w:ind w:hanging="0" w:start="0"/>
        <w:jc w:val="both"/>
        <w:rPr>
          <w:lang w:val="en-GB"/>
        </w:rPr>
      </w:pPr>
      <w:r>
        <w:rPr>
          <w:lang w:val="en-GB"/>
        </w:rPr>
        <w:t>GAS</w:t>
      </w:r>
    </w:p>
    <w:p>
      <w:pPr>
        <w:pStyle w:val="Heading3"/>
        <w:ind w:hanging="0" w:start="0"/>
        <w:jc w:val="both"/>
        <w:rPr>
          <w:lang w:val="en-GB"/>
        </w:rPr>
      </w:pPr>
      <w:r>
        <w:rPr>
          <w:lang w:val="en-GB"/>
        </w:rPr>
        <w:t>Active</w:t>
      </w:r>
    </w:p>
    <w:p>
      <w:pPr>
        <w:pStyle w:val="Normal"/>
        <w:numPr>
          <w:ilvl w:val="0"/>
          <w:numId w:val="7"/>
        </w:numPr>
        <w:jc w:val="both"/>
        <w:rPr>
          <w:lang w:val="en-GB"/>
        </w:rPr>
      </w:pPr>
      <w:r>
        <w:rPr>
          <w:lang w:val="en-GB"/>
        </w:rPr>
        <w:t>Obtain firm capacity from Switzerland and Austria</w:t>
      </w:r>
    </w:p>
    <w:p>
      <w:pPr>
        <w:pStyle w:val="Normal"/>
        <w:numPr>
          <w:ilvl w:val="0"/>
          <w:numId w:val="7"/>
        </w:numPr>
        <w:jc w:val="both"/>
        <w:rPr>
          <w:lang w:val="en-GB"/>
        </w:rPr>
      </w:pPr>
      <w:r>
        <w:rPr>
          <w:lang w:val="en-GB"/>
        </w:rPr>
        <w:t>Remove discriminatory access terms under release gas</w:t>
      </w:r>
    </w:p>
    <w:p>
      <w:pPr>
        <w:pStyle w:val="Normal"/>
        <w:numPr>
          <w:ilvl w:val="0"/>
          <w:numId w:val="7"/>
        </w:numPr>
        <w:autoSpaceDE w:val="false"/>
        <w:jc w:val="both"/>
        <w:rPr>
          <w:szCs w:val="20"/>
        </w:rPr>
      </w:pPr>
      <w:r>
        <w:rPr>
          <w:szCs w:val="20"/>
        </w:rPr>
        <w:t xml:space="preserve">Discrimination against non EU gas </w:t>
      </w:r>
    </w:p>
    <w:p>
      <w:pPr>
        <w:pStyle w:val="Normal"/>
        <w:numPr>
          <w:ilvl w:val="0"/>
          <w:numId w:val="7"/>
        </w:numPr>
        <w:autoSpaceDE w:val="false"/>
        <w:jc w:val="both"/>
        <w:rPr>
          <w:szCs w:val="20"/>
        </w:rPr>
      </w:pPr>
      <w:r>
        <w:rPr>
          <w:szCs w:val="20"/>
        </w:rPr>
        <w:t>Transparent release of public information about the existing and available transportation capacity</w:t>
      </w:r>
    </w:p>
    <w:p>
      <w:pPr>
        <w:pStyle w:val="Normal"/>
        <w:numPr>
          <w:ilvl w:val="0"/>
          <w:numId w:val="7"/>
        </w:numPr>
        <w:autoSpaceDE w:val="false"/>
        <w:jc w:val="both"/>
        <w:rPr>
          <w:szCs w:val="20"/>
        </w:rPr>
      </w:pPr>
      <w:r>
        <w:rPr>
          <w:szCs w:val="20"/>
        </w:rPr>
        <w:t>Allocation of Snam gas and capacity to meet the antitrust thresholds</w:t>
      </w:r>
    </w:p>
    <w:p>
      <w:pPr>
        <w:pStyle w:val="Normal"/>
        <w:numPr>
          <w:ilvl w:val="0"/>
          <w:numId w:val="7"/>
        </w:numPr>
        <w:autoSpaceDE w:val="false"/>
        <w:jc w:val="both"/>
        <w:rPr>
          <w:b/>
          <w:bCs/>
          <w:lang w:val="en-GB"/>
        </w:rPr>
      </w:pPr>
      <w:r>
        <w:rPr/>
        <w:t>TPA regime and the substitution concept</w:t>
      </w:r>
    </w:p>
    <w:p>
      <w:pPr>
        <w:pStyle w:val="Normal"/>
        <w:jc w:val="both"/>
        <w:rPr>
          <w:b/>
          <w:bCs/>
          <w:lang w:val="en-GB"/>
        </w:rPr>
      </w:pPr>
      <w:r>
        <w:rPr>
          <w:b/>
          <w:bCs/>
          <w:lang w:val="en-GB"/>
        </w:rPr>
      </w:r>
    </w:p>
    <w:p>
      <w:pPr>
        <w:pStyle w:val="Heading5"/>
        <w:autoSpaceDE w:val="true"/>
        <w:ind w:hanging="0" w:start="0"/>
        <w:rPr>
          <w:szCs w:val="24"/>
          <w:lang w:val="en-GB"/>
        </w:rPr>
      </w:pPr>
      <w:r>
        <w:rPr>
          <w:szCs w:val="24"/>
          <w:lang w:val="en-GB"/>
        </w:rPr>
        <w:t>Inactive</w:t>
      </w:r>
    </w:p>
    <w:p>
      <w:pPr>
        <w:pStyle w:val="Normal"/>
        <w:numPr>
          <w:ilvl w:val="0"/>
          <w:numId w:val="16"/>
        </w:numPr>
        <w:jc w:val="both"/>
        <w:rPr>
          <w:lang w:val="en-GB"/>
        </w:rPr>
      </w:pPr>
      <w:r>
        <w:rPr>
          <w:lang w:val="en-GB"/>
        </w:rPr>
        <w:t>New allocation mechanism for the Italian domestic gas</w:t>
      </w:r>
    </w:p>
    <w:p>
      <w:pPr>
        <w:pStyle w:val="Normal"/>
        <w:numPr>
          <w:ilvl w:val="0"/>
          <w:numId w:val="16"/>
        </w:numPr>
        <w:jc w:val="both"/>
        <w:rPr>
          <w:lang w:val="en-GB"/>
        </w:rPr>
      </w:pPr>
      <w:r>
        <w:rPr>
          <w:lang w:val="en-GB"/>
        </w:rPr>
        <w:t>Re-sell conditions for end customers</w:t>
      </w:r>
    </w:p>
    <w:p>
      <w:pPr>
        <w:pStyle w:val="Normal"/>
        <w:numPr>
          <w:ilvl w:val="0"/>
          <w:numId w:val="16"/>
        </w:numPr>
        <w:jc w:val="both"/>
        <w:rPr>
          <w:lang w:val="en-GB"/>
        </w:rPr>
      </w:pPr>
      <w:r>
        <w:rPr>
          <w:lang w:val="en-GB"/>
        </w:rPr>
        <w:t>Consultation re storage and LNG coming up soon</w:t>
      </w:r>
    </w:p>
    <w:p>
      <w:pPr>
        <w:pStyle w:val="Normal"/>
        <w:jc w:val="both"/>
        <w:rPr>
          <w:lang w:val="en-GB"/>
        </w:rPr>
      </w:pPr>
      <w:r>
        <w:rPr>
          <w:lang w:val="en-GB"/>
        </w:rPr>
      </w:r>
    </w:p>
    <w:p>
      <w:pPr>
        <w:pStyle w:val="Heading3"/>
        <w:autoSpaceDE w:val="false"/>
        <w:ind w:hanging="0" w:start="0"/>
        <w:jc w:val="both"/>
        <w:rPr>
          <w:sz w:val="28"/>
          <w:szCs w:val="20"/>
        </w:rPr>
      </w:pPr>
      <w:r>
        <w:rPr>
          <w:sz w:val="28"/>
          <w:szCs w:val="20"/>
        </w:rPr>
        <w:t>SPAIN</w:t>
      </w:r>
      <w:r>
        <w:rPr>
          <w:b w:val="false"/>
          <w:bCs w:val="false"/>
          <w:sz w:val="28"/>
          <w:szCs w:val="20"/>
        </w:rPr>
        <w:t xml:space="preserve"> </w:t>
      </w:r>
      <w:r>
        <w:rPr>
          <w:b w:val="false"/>
          <w:bCs w:val="false"/>
        </w:rPr>
        <w:t>(see Appendix II for more details)</w:t>
      </w:r>
    </w:p>
    <w:p>
      <w:pPr>
        <w:pStyle w:val="Normal"/>
        <w:autoSpaceDE w:val="false"/>
        <w:jc w:val="both"/>
        <w:rPr>
          <w:b/>
          <w:bCs/>
          <w:szCs w:val="20"/>
        </w:rPr>
      </w:pPr>
      <w:r>
        <w:rPr>
          <w:b/>
          <w:bCs/>
          <w:szCs w:val="20"/>
        </w:rPr>
        <w:t>GAS</w:t>
      </w:r>
    </w:p>
    <w:p>
      <w:pPr>
        <w:pStyle w:val="Normal"/>
        <w:autoSpaceDE w:val="false"/>
        <w:jc w:val="both"/>
        <w:rPr>
          <w:szCs w:val="20"/>
        </w:rPr>
      </w:pPr>
      <w:r>
        <w:rPr>
          <w:b/>
          <w:bCs/>
          <w:szCs w:val="20"/>
        </w:rPr>
        <w:t>Active</w:t>
      </w:r>
    </w:p>
    <w:p>
      <w:pPr>
        <w:pStyle w:val="Normal"/>
        <w:numPr>
          <w:ilvl w:val="0"/>
          <w:numId w:val="26"/>
        </w:numPr>
        <w:autoSpaceDE w:val="false"/>
        <w:ind w:hanging="380" w:start="380" w:end="0"/>
        <w:jc w:val="both"/>
        <w:rPr>
          <w:szCs w:val="20"/>
        </w:rPr>
      </w:pPr>
      <w:r>
        <w:rPr>
          <w:szCs w:val="20"/>
        </w:rPr>
        <w:t>Completion and approval of the Grid Code</w:t>
      </w:r>
    </w:p>
    <w:p>
      <w:pPr>
        <w:pStyle w:val="Normal"/>
        <w:numPr>
          <w:ilvl w:val="0"/>
          <w:numId w:val="26"/>
        </w:numPr>
        <w:autoSpaceDE w:val="false"/>
        <w:ind w:hanging="380" w:start="380" w:end="0"/>
        <w:jc w:val="both"/>
        <w:rPr>
          <w:szCs w:val="20"/>
        </w:rPr>
      </w:pPr>
      <w:r>
        <w:rPr>
          <w:szCs w:val="20"/>
        </w:rPr>
        <w:t>Implementation of the new TPA regime</w:t>
      </w:r>
    </w:p>
    <w:p>
      <w:pPr>
        <w:pStyle w:val="Normal"/>
        <w:numPr>
          <w:ilvl w:val="0"/>
          <w:numId w:val="26"/>
        </w:numPr>
        <w:autoSpaceDE w:val="false"/>
        <w:ind w:hanging="380" w:start="380" w:end="0"/>
        <w:jc w:val="both"/>
        <w:rPr>
          <w:szCs w:val="20"/>
        </w:rPr>
      </w:pPr>
      <w:r>
        <w:rPr>
          <w:szCs w:val="20"/>
        </w:rPr>
        <w:t>Regulatory control of the Arcos TPA position after ratification of the contract by 30 Sept</w:t>
      </w:r>
    </w:p>
    <w:p>
      <w:pPr>
        <w:pStyle w:val="Normal"/>
        <w:numPr>
          <w:ilvl w:val="0"/>
          <w:numId w:val="26"/>
        </w:numPr>
        <w:autoSpaceDE w:val="false"/>
        <w:ind w:hanging="380" w:start="380" w:end="0"/>
        <w:jc w:val="both"/>
        <w:rPr/>
      </w:pPr>
      <w:r>
        <w:rPr/>
        <w:t>Sale of 65% of Gas Natural stake on Enagas</w:t>
      </w:r>
    </w:p>
    <w:p>
      <w:pPr>
        <w:pStyle w:val="Heading1"/>
        <w:ind w:hanging="0" w:start="0"/>
        <w:jc w:val="both"/>
        <w:rPr>
          <w:sz w:val="24"/>
          <w:szCs w:val="20"/>
        </w:rPr>
      </w:pPr>
      <w:r>
        <w:rPr>
          <w:sz w:val="24"/>
          <w:szCs w:val="20"/>
        </w:rPr>
      </w:r>
    </w:p>
    <w:p>
      <w:pPr>
        <w:pStyle w:val="Heading1"/>
        <w:ind w:hanging="0" w:start="0"/>
        <w:jc w:val="both"/>
        <w:rPr>
          <w:b/>
          <w:bCs/>
        </w:rPr>
      </w:pPr>
      <w:r>
        <w:rPr>
          <w:b/>
          <w:bCs/>
        </w:rPr>
        <w:t>DENMARK</w:t>
      </w:r>
    </w:p>
    <w:p>
      <w:pPr>
        <w:pStyle w:val="Heading3"/>
        <w:ind w:hanging="0" w:start="0"/>
        <w:jc w:val="both"/>
        <w:rPr>
          <w:lang w:val="en-GB"/>
        </w:rPr>
      </w:pPr>
      <w:r>
        <w:rPr>
          <w:lang w:val="en-GB"/>
        </w:rPr>
        <w:t>GAS</w:t>
      </w:r>
    </w:p>
    <w:p>
      <w:pPr>
        <w:pStyle w:val="Heading3"/>
        <w:ind w:hanging="0" w:start="0"/>
        <w:jc w:val="both"/>
        <w:rPr>
          <w:lang w:val="en-GB"/>
        </w:rPr>
      </w:pPr>
      <w:r>
        <w:rPr>
          <w:lang w:val="en-GB"/>
        </w:rPr>
        <w:t>Inactive</w:t>
      </w:r>
    </w:p>
    <w:p>
      <w:pPr>
        <w:pStyle w:val="Normal"/>
        <w:numPr>
          <w:ilvl w:val="0"/>
          <w:numId w:val="7"/>
        </w:numPr>
        <w:jc w:val="both"/>
        <w:rPr>
          <w:lang w:val="en-GB"/>
        </w:rPr>
      </w:pPr>
      <w:r>
        <w:rPr>
          <w:lang w:val="en-GB"/>
        </w:rPr>
        <w:t>Access to offshore pipelines</w:t>
      </w:r>
    </w:p>
    <w:p>
      <w:pPr>
        <w:pStyle w:val="Normal"/>
        <w:jc w:val="both"/>
        <w:rPr>
          <w:lang w:val="en-GB"/>
        </w:rPr>
      </w:pPr>
      <w:r>
        <w:rPr>
          <w:lang w:val="en-GB"/>
        </w:rPr>
      </w:r>
    </w:p>
    <w:p>
      <w:pPr>
        <w:pStyle w:val="Heading1"/>
        <w:ind w:hanging="0" w:start="0"/>
        <w:jc w:val="both"/>
        <w:rPr>
          <w:b/>
          <w:bCs/>
        </w:rPr>
      </w:pPr>
      <w:r>
        <w:rPr>
          <w:b/>
          <w:bCs/>
        </w:rPr>
        <w:t>EC / CROSS BORDER</w:t>
      </w:r>
    </w:p>
    <w:p>
      <w:pPr>
        <w:pStyle w:val="Heading3"/>
        <w:ind w:hanging="0" w:start="0"/>
        <w:jc w:val="both"/>
        <w:rPr>
          <w:lang w:val="en-GB"/>
        </w:rPr>
      </w:pPr>
      <w:r>
        <w:rPr>
          <w:lang w:val="en-GB"/>
        </w:rPr>
        <w:t>GAS</w:t>
      </w:r>
    </w:p>
    <w:p>
      <w:pPr>
        <w:pStyle w:val="Heading3"/>
        <w:ind w:hanging="0" w:start="0"/>
        <w:jc w:val="both"/>
        <w:rPr>
          <w:lang w:val="en-GB"/>
        </w:rPr>
      </w:pPr>
      <w:r>
        <w:rPr>
          <w:lang w:val="en-GB"/>
        </w:rPr>
        <w:t>Active</w:t>
      </w:r>
    </w:p>
    <w:p>
      <w:pPr>
        <w:pStyle w:val="Normal"/>
        <w:numPr>
          <w:ilvl w:val="0"/>
          <w:numId w:val="4"/>
        </w:numPr>
        <w:jc w:val="both"/>
        <w:rPr>
          <w:lang w:val="en-GB"/>
        </w:rPr>
      </w:pPr>
      <w:r>
        <w:rPr>
          <w:lang w:val="en-GB"/>
        </w:rPr>
        <w:t>Promote transparency in interconnector access</w:t>
      </w:r>
    </w:p>
    <w:p>
      <w:pPr>
        <w:pStyle w:val="Normal"/>
        <w:numPr>
          <w:ilvl w:val="1"/>
          <w:numId w:val="4"/>
        </w:numPr>
        <w:jc w:val="both"/>
        <w:rPr>
          <w:lang w:val="en-GB"/>
        </w:rPr>
      </w:pPr>
      <w:r>
        <w:rPr>
          <w:lang w:val="en-GB"/>
        </w:rPr>
        <w:t>Protect against GTE proposals to limit access terms</w:t>
      </w:r>
    </w:p>
    <w:p>
      <w:pPr>
        <w:pStyle w:val="Normal"/>
        <w:numPr>
          <w:ilvl w:val="1"/>
          <w:numId w:val="4"/>
        </w:numPr>
        <w:jc w:val="both"/>
        <w:rPr>
          <w:lang w:val="en-GB"/>
        </w:rPr>
      </w:pPr>
      <w:r>
        <w:rPr>
          <w:lang w:val="en-GB"/>
        </w:rPr>
        <w:t>Key messages for PR pack</w:t>
      </w:r>
    </w:p>
    <w:p>
      <w:pPr>
        <w:pStyle w:val="Normal"/>
        <w:numPr>
          <w:ilvl w:val="0"/>
          <w:numId w:val="4"/>
        </w:numPr>
        <w:jc w:val="both"/>
        <w:rPr>
          <w:lang w:val="en-GB"/>
        </w:rPr>
      </w:pPr>
      <w:r>
        <w:rPr>
          <w:lang w:val="en-GB"/>
        </w:rPr>
        <w:t>Promote publication of transportation capacity availability</w:t>
      </w:r>
    </w:p>
    <w:p>
      <w:pPr>
        <w:pStyle w:val="Normal"/>
        <w:numPr>
          <w:ilvl w:val="0"/>
          <w:numId w:val="4"/>
        </w:numPr>
        <w:jc w:val="both"/>
        <w:rPr>
          <w:lang w:val="en-GB"/>
        </w:rPr>
      </w:pPr>
      <w:r>
        <w:rPr>
          <w:lang w:val="en-GB"/>
        </w:rPr>
        <w:t>Identify options created by EC investigation into LT gas contracts</w:t>
      </w:r>
    </w:p>
    <w:p>
      <w:pPr>
        <w:pStyle w:val="Normal"/>
        <w:numPr>
          <w:ilvl w:val="0"/>
          <w:numId w:val="4"/>
        </w:numPr>
        <w:jc w:val="both"/>
        <w:rPr>
          <w:lang w:val="en-GB"/>
        </w:rPr>
      </w:pPr>
      <w:r>
        <w:rPr>
          <w:lang w:val="en-GB"/>
        </w:rPr>
        <w:t xml:space="preserve">Prevent market foreclosure because of spurious Security of Supply concerns (EC Green paper on security of supply) </w:t>
      </w:r>
    </w:p>
    <w:p>
      <w:pPr>
        <w:pStyle w:val="Normal"/>
        <w:jc w:val="both"/>
        <w:rPr>
          <w:lang w:val="en-GB"/>
        </w:rPr>
      </w:pPr>
      <w:r>
        <w:rPr>
          <w:lang w:val="en-GB"/>
        </w:rPr>
      </w:r>
    </w:p>
    <w:p>
      <w:pPr>
        <w:pStyle w:val="Heading3"/>
        <w:ind w:hanging="0" w:start="0"/>
        <w:jc w:val="both"/>
        <w:rPr>
          <w:lang w:val="en-GB"/>
        </w:rPr>
      </w:pPr>
      <w:r>
        <w:rPr>
          <w:lang w:val="en-GB"/>
        </w:rPr>
        <w:t>Inactive</w:t>
      </w:r>
    </w:p>
    <w:p>
      <w:pPr>
        <w:pStyle w:val="Normal"/>
        <w:numPr>
          <w:ilvl w:val="0"/>
          <w:numId w:val="23"/>
        </w:numPr>
        <w:jc w:val="both"/>
        <w:rPr>
          <w:lang w:val="en-GB"/>
        </w:rPr>
      </w:pPr>
      <w:r>
        <w:rPr>
          <w:lang w:val="en-GB"/>
        </w:rPr>
        <w:t>All of the above in more detail</w:t>
      </w:r>
    </w:p>
    <w:p>
      <w:pPr>
        <w:pStyle w:val="Normal"/>
        <w:numPr>
          <w:ilvl w:val="0"/>
          <w:numId w:val="23"/>
        </w:numPr>
        <w:jc w:val="both"/>
        <w:rPr>
          <w:lang w:val="en-GB"/>
        </w:rPr>
      </w:pPr>
      <w:r>
        <w:rPr>
          <w:lang w:val="en-GB"/>
        </w:rPr>
        <w:t>Lobbying on new cross-border and information regulations</w:t>
      </w:r>
    </w:p>
    <w:p>
      <w:pPr>
        <w:pStyle w:val="Normal"/>
        <w:numPr>
          <w:ilvl w:val="0"/>
          <w:numId w:val="23"/>
        </w:numPr>
        <w:jc w:val="both"/>
        <w:rPr>
          <w:lang w:val="en-GB"/>
        </w:rPr>
      </w:pPr>
      <w:r>
        <w:rPr>
          <w:lang w:val="en-GB"/>
        </w:rPr>
        <w:t>Article 82 case on German access</w:t>
      </w:r>
    </w:p>
    <w:p>
      <w:pPr>
        <w:pStyle w:val="Normal"/>
        <w:numPr>
          <w:ilvl w:val="0"/>
          <w:numId w:val="23"/>
        </w:numPr>
        <w:jc w:val="both"/>
        <w:rPr>
          <w:lang w:val="en-GB"/>
        </w:rPr>
      </w:pPr>
      <w:r>
        <w:rPr>
          <w:lang w:val="en-GB"/>
        </w:rPr>
        <w:t>Bacton – Zeebrugge Interconnector Investigation</w:t>
      </w:r>
    </w:p>
    <w:p>
      <w:pPr>
        <w:pStyle w:val="Normal"/>
        <w:numPr>
          <w:ilvl w:val="0"/>
          <w:numId w:val="23"/>
        </w:numPr>
        <w:jc w:val="both"/>
        <w:rPr>
          <w:lang w:val="en-GB"/>
        </w:rPr>
      </w:pPr>
      <w:r>
        <w:rPr>
          <w:lang w:val="en-GB"/>
        </w:rPr>
        <w:t>Draft model agreements</w:t>
      </w:r>
    </w:p>
    <w:p>
      <w:pPr>
        <w:pStyle w:val="Normal"/>
        <w:numPr>
          <w:ilvl w:val="0"/>
          <w:numId w:val="23"/>
        </w:numPr>
        <w:jc w:val="both"/>
        <w:rPr>
          <w:lang w:val="en-GB"/>
        </w:rPr>
      </w:pPr>
      <w:r>
        <w:rPr>
          <w:lang w:val="en-GB"/>
        </w:rPr>
        <w:t>Intervention in Thyssengas</w:t>
      </w:r>
    </w:p>
    <w:p>
      <w:pPr>
        <w:pStyle w:val="Normal"/>
        <w:numPr>
          <w:ilvl w:val="0"/>
          <w:numId w:val="23"/>
        </w:numPr>
        <w:jc w:val="both"/>
        <w:rPr>
          <w:lang w:val="en-GB"/>
        </w:rPr>
      </w:pPr>
      <w:r>
        <w:rPr>
          <w:lang w:val="en-GB"/>
        </w:rPr>
        <w:t>CEPS / U of Dundee conference</w:t>
      </w:r>
    </w:p>
    <w:p>
      <w:pPr>
        <w:pStyle w:val="Normal"/>
        <w:jc w:val="both"/>
        <w:rPr>
          <w:lang w:val="en-GB"/>
        </w:rPr>
      </w:pPr>
      <w:r>
        <w:rPr>
          <w:lang w:val="en-GB"/>
        </w:rPr>
      </w:r>
    </w:p>
    <w:p>
      <w:pPr>
        <w:pStyle w:val="Normal"/>
        <w:jc w:val="both"/>
        <w:rPr>
          <w:b/>
          <w:bCs/>
          <w:sz w:val="28"/>
          <w:lang w:val="en-GB"/>
        </w:rPr>
      </w:pPr>
      <w:r>
        <w:rPr>
          <w:b/>
          <w:bCs/>
          <w:sz w:val="28"/>
          <w:lang w:val="en-GB"/>
        </w:rPr>
        <w:t>CENTRAL &amp; EASTERN EUROPE</w:t>
      </w:r>
    </w:p>
    <w:p>
      <w:pPr>
        <w:pStyle w:val="Heading3"/>
        <w:ind w:hanging="0" w:start="0"/>
        <w:jc w:val="both"/>
        <w:rPr>
          <w:lang w:val="en-GB"/>
        </w:rPr>
      </w:pPr>
      <w:r>
        <w:rPr>
          <w:lang w:val="en-GB"/>
        </w:rPr>
        <w:t>ELECTRICITY</w:t>
      </w:r>
    </w:p>
    <w:p>
      <w:pPr>
        <w:pStyle w:val="Heading3"/>
        <w:ind w:hanging="0" w:start="0"/>
        <w:jc w:val="both"/>
        <w:rPr>
          <w:lang w:val="en-GB"/>
        </w:rPr>
      </w:pPr>
      <w:r>
        <w:rPr>
          <w:lang w:val="en-GB"/>
        </w:rPr>
        <w:t>Active</w:t>
      </w:r>
    </w:p>
    <w:p>
      <w:pPr>
        <w:pStyle w:val="Normal"/>
        <w:numPr>
          <w:ilvl w:val="0"/>
          <w:numId w:val="13"/>
        </w:numPr>
        <w:jc w:val="both"/>
        <w:rPr>
          <w:lang w:val="en-GB"/>
        </w:rPr>
      </w:pPr>
      <w:r>
        <w:rPr>
          <w:lang w:val="en-GB"/>
        </w:rPr>
        <w:t>Greece : Electricity supply licence application</w:t>
      </w:r>
    </w:p>
    <w:p>
      <w:pPr>
        <w:pStyle w:val="Normal"/>
        <w:numPr>
          <w:ilvl w:val="0"/>
          <w:numId w:val="13"/>
        </w:numPr>
        <w:jc w:val="both"/>
        <w:rPr>
          <w:lang w:val="en-GB"/>
        </w:rPr>
      </w:pPr>
      <w:r>
        <w:rPr>
          <w:lang w:val="en-GB"/>
        </w:rPr>
        <w:t>Greece : Access to Greece / Italy power interconnector</w:t>
      </w:r>
    </w:p>
    <w:p>
      <w:pPr>
        <w:pStyle w:val="Normal"/>
        <w:numPr>
          <w:ilvl w:val="0"/>
          <w:numId w:val="13"/>
        </w:numPr>
        <w:jc w:val="both"/>
        <w:rPr>
          <w:lang w:val="en-GB"/>
        </w:rPr>
      </w:pPr>
      <w:r>
        <w:rPr>
          <w:lang w:val="en-GB"/>
        </w:rPr>
        <w:t>Balkans : define regulatory issues for commercial trading strategy</w:t>
      </w:r>
    </w:p>
    <w:p>
      <w:pPr>
        <w:pStyle w:val="Normal"/>
        <w:numPr>
          <w:ilvl w:val="0"/>
          <w:numId w:val="13"/>
        </w:numPr>
        <w:jc w:val="both"/>
        <w:rPr>
          <w:lang w:val="en-GB"/>
        </w:rPr>
      </w:pPr>
      <w:r>
        <w:rPr>
          <w:lang w:val="en-GB"/>
        </w:rPr>
        <w:t>Poland / Czech :  Protect against barriers to power exports to EU</w:t>
      </w:r>
    </w:p>
    <w:p>
      <w:pPr>
        <w:pStyle w:val="Normal"/>
        <w:jc w:val="both"/>
        <w:rPr>
          <w:lang w:val="en-GB"/>
        </w:rPr>
      </w:pPr>
      <w:r>
        <w:rPr>
          <w:lang w:val="en-GB"/>
        </w:rPr>
      </w:r>
    </w:p>
    <w:p>
      <w:pPr>
        <w:pStyle w:val="Heading3"/>
        <w:ind w:hanging="0" w:start="0"/>
        <w:jc w:val="both"/>
        <w:rPr>
          <w:lang w:val="en-GB"/>
        </w:rPr>
      </w:pPr>
      <w:r>
        <w:rPr>
          <w:lang w:val="en-GB"/>
        </w:rPr>
        <w:t>Inactive</w:t>
      </w:r>
    </w:p>
    <w:p>
      <w:pPr>
        <w:pStyle w:val="Normal"/>
        <w:numPr>
          <w:ilvl w:val="0"/>
          <w:numId w:val="21"/>
        </w:numPr>
        <w:jc w:val="both"/>
        <w:rPr>
          <w:lang w:val="en-GB"/>
        </w:rPr>
      </w:pPr>
      <w:r>
        <w:rPr>
          <w:lang w:val="en-GB"/>
        </w:rPr>
        <w:t>Greece : Protect Enron’s interest during formation of general interconnector rules</w:t>
      </w:r>
    </w:p>
    <w:p>
      <w:pPr>
        <w:pStyle w:val="Normal"/>
        <w:numPr>
          <w:ilvl w:val="0"/>
          <w:numId w:val="21"/>
        </w:numPr>
        <w:jc w:val="both"/>
        <w:rPr>
          <w:lang w:val="en-GB"/>
        </w:rPr>
      </w:pPr>
      <w:r>
        <w:rPr>
          <w:lang w:val="en-GB"/>
        </w:rPr>
        <w:t>Greece : Protect Enron’s interest in Operating Code and Balancing market</w:t>
      </w:r>
    </w:p>
    <w:p>
      <w:pPr>
        <w:pStyle w:val="Normal"/>
        <w:numPr>
          <w:ilvl w:val="0"/>
          <w:numId w:val="21"/>
        </w:numPr>
        <w:jc w:val="both"/>
        <w:rPr>
          <w:lang w:val="en-GB"/>
        </w:rPr>
      </w:pPr>
      <w:r>
        <w:rPr>
          <w:lang w:val="en-GB"/>
        </w:rPr>
        <w:t>Turkey : new energy legislation</w:t>
      </w:r>
    </w:p>
    <w:p>
      <w:pPr>
        <w:pStyle w:val="Normal"/>
        <w:numPr>
          <w:ilvl w:val="0"/>
          <w:numId w:val="21"/>
        </w:numPr>
        <w:jc w:val="both"/>
        <w:rPr>
          <w:lang w:val="en-GB"/>
        </w:rPr>
      </w:pPr>
      <w:r>
        <w:rPr>
          <w:lang w:val="en-GB"/>
        </w:rPr>
        <w:t>Czech / Slovakia / Bulgaria / Romania / Hungary : privatisations, transit access, transposition of energy directives, market access</w:t>
      </w:r>
    </w:p>
    <w:p>
      <w:pPr>
        <w:pStyle w:val="Normal"/>
        <w:numPr>
          <w:ilvl w:val="0"/>
          <w:numId w:val="21"/>
        </w:numPr>
        <w:jc w:val="both"/>
        <w:rPr>
          <w:lang w:val="en-GB"/>
        </w:rPr>
      </w:pPr>
      <w:r>
        <w:rPr>
          <w:lang w:val="en-GB"/>
        </w:rPr>
        <w:t>Poland : balancing market</w:t>
      </w:r>
    </w:p>
    <w:p>
      <w:pPr>
        <w:pStyle w:val="Normal"/>
        <w:numPr>
          <w:ilvl w:val="0"/>
          <w:numId w:val="21"/>
        </w:numPr>
        <w:jc w:val="both"/>
        <w:rPr>
          <w:lang w:val="en-GB"/>
        </w:rPr>
      </w:pPr>
      <w:r>
        <w:rPr>
          <w:lang w:val="en-GB"/>
        </w:rPr>
        <w:t>Baltics</w:t>
      </w:r>
    </w:p>
    <w:p>
      <w:pPr>
        <w:pStyle w:val="Normal"/>
        <w:numPr>
          <w:ilvl w:val="0"/>
          <w:numId w:val="21"/>
        </w:numPr>
        <w:jc w:val="both"/>
        <w:rPr>
          <w:lang w:val="en-GB"/>
        </w:rPr>
      </w:pPr>
      <w:r>
        <w:rPr>
          <w:lang w:val="en-GB"/>
        </w:rPr>
        <w:t>EU accession programmes</w:t>
      </w:r>
    </w:p>
    <w:p>
      <w:pPr>
        <w:pStyle w:val="Normal"/>
        <w:numPr>
          <w:ilvl w:val="0"/>
          <w:numId w:val="21"/>
        </w:numPr>
        <w:jc w:val="both"/>
        <w:rPr>
          <w:lang w:val="en-GB"/>
        </w:rPr>
      </w:pPr>
      <w:r>
        <w:rPr>
          <w:lang w:val="en-GB"/>
        </w:rPr>
        <w:t>Showcase Europe – visit of US commercial reps in C&amp;EE to Houston</w:t>
      </w:r>
    </w:p>
    <w:p>
      <w:pPr>
        <w:pStyle w:val="Normal"/>
        <w:numPr>
          <w:ilvl w:val="0"/>
          <w:numId w:val="21"/>
        </w:numPr>
        <w:jc w:val="both"/>
        <w:rPr>
          <w:lang w:val="en-GB"/>
        </w:rPr>
      </w:pPr>
      <w:r>
        <w:rPr>
          <w:lang w:val="en-GB"/>
        </w:rPr>
        <w:t>Eastern European reg. forum</w:t>
      </w:r>
    </w:p>
    <w:p>
      <w:pPr>
        <w:pStyle w:val="Normal"/>
        <w:jc w:val="both"/>
        <w:rPr>
          <w:lang w:val="en-GB"/>
        </w:rPr>
      </w:pPr>
      <w:r>
        <w:rPr>
          <w:lang w:val="en-GB"/>
        </w:rPr>
      </w:r>
    </w:p>
    <w:p>
      <w:pPr>
        <w:pStyle w:val="Heading3"/>
        <w:ind w:hanging="0" w:start="0"/>
        <w:jc w:val="both"/>
        <w:rPr>
          <w:lang w:val="en-GB"/>
        </w:rPr>
      </w:pPr>
      <w:r>
        <w:rPr>
          <w:lang w:val="en-GB"/>
        </w:rPr>
        <w:t>GAS</w:t>
      </w:r>
    </w:p>
    <w:p>
      <w:pPr>
        <w:pStyle w:val="Heading3"/>
        <w:ind w:hanging="0" w:start="0"/>
        <w:jc w:val="both"/>
        <w:rPr>
          <w:lang w:val="en-GB"/>
        </w:rPr>
      </w:pPr>
      <w:r>
        <w:rPr>
          <w:lang w:val="en-GB"/>
        </w:rPr>
        <w:t>Inactive</w:t>
      </w:r>
    </w:p>
    <w:p>
      <w:pPr>
        <w:pStyle w:val="Normal"/>
        <w:numPr>
          <w:ilvl w:val="0"/>
          <w:numId w:val="25"/>
        </w:numPr>
        <w:jc w:val="both"/>
        <w:rPr>
          <w:lang w:val="en-GB"/>
        </w:rPr>
      </w:pPr>
      <w:r>
        <w:rPr>
          <w:lang w:val="en-GB"/>
        </w:rPr>
        <w:t xml:space="preserve">Russia : Gazprom restructuring </w:t>
      </w:r>
    </w:p>
    <w:p>
      <w:pPr>
        <w:pStyle w:val="Normal"/>
        <w:numPr>
          <w:ilvl w:val="0"/>
          <w:numId w:val="25"/>
        </w:numPr>
        <w:jc w:val="both"/>
        <w:rPr>
          <w:lang w:val="en-GB"/>
        </w:rPr>
      </w:pPr>
      <w:r>
        <w:rPr>
          <w:lang w:val="en-GB"/>
        </w:rPr>
        <w:t>Gas Transit (Ukraine, Poland)</w:t>
      </w:r>
    </w:p>
    <w:p>
      <w:pPr>
        <w:pStyle w:val="Normal"/>
        <w:numPr>
          <w:ilvl w:val="0"/>
          <w:numId w:val="25"/>
        </w:numPr>
        <w:jc w:val="both"/>
        <w:rPr>
          <w:lang w:val="en-GB"/>
        </w:rPr>
      </w:pPr>
      <w:r>
        <w:rPr>
          <w:lang w:val="en-GB"/>
        </w:rPr>
        <w:t>Energy Charter Treaty</w:t>
      </w:r>
    </w:p>
    <w:p>
      <w:pPr>
        <w:pStyle w:val="Normal"/>
        <w:numPr>
          <w:ilvl w:val="0"/>
          <w:numId w:val="25"/>
        </w:numPr>
        <w:jc w:val="both"/>
        <w:rPr>
          <w:lang w:val="en-GB"/>
        </w:rPr>
      </w:pPr>
      <w:r>
        <w:rPr>
          <w:lang w:val="en-GB"/>
        </w:rPr>
        <w:t>Greece : Formation of legislation / regulations</w:t>
      </w:r>
    </w:p>
    <w:p>
      <w:pPr>
        <w:pStyle w:val="Normal"/>
        <w:jc w:val="both"/>
        <w:rPr>
          <w:lang w:val="en-GB"/>
        </w:rPr>
      </w:pPr>
      <w:r>
        <w:rPr>
          <w:lang w:val="en-GB"/>
        </w:rPr>
      </w:r>
    </w:p>
    <w:p>
      <w:pPr>
        <w:pStyle w:val="Heading1"/>
        <w:ind w:hanging="0" w:start="0"/>
        <w:jc w:val="both"/>
        <w:rPr>
          <w:b/>
          <w:bCs/>
        </w:rPr>
      </w:pPr>
      <w:r>
        <w:rPr>
          <w:b/>
          <w:bCs/>
        </w:rPr>
        <w:t>GERMANY</w:t>
      </w:r>
      <w:r>
        <w:rPr>
          <w:sz w:val="24"/>
        </w:rPr>
        <w:t xml:space="preserve"> (see Appendix III for more details)</w:t>
      </w:r>
    </w:p>
    <w:p>
      <w:pPr>
        <w:pStyle w:val="Heading3"/>
        <w:ind w:hanging="0" w:start="0"/>
        <w:jc w:val="both"/>
        <w:rPr/>
      </w:pPr>
      <w:r>
        <w:rPr/>
        <w:t>GAS PIPELINE ACCESS</w:t>
      </w:r>
    </w:p>
    <w:p>
      <w:pPr>
        <w:pStyle w:val="Normal"/>
        <w:jc w:val="both"/>
        <w:rPr>
          <w:b/>
          <w:bCs/>
        </w:rPr>
      </w:pPr>
      <w:r>
        <w:rPr>
          <w:b/>
          <w:bCs/>
        </w:rPr>
        <w:t>Active</w:t>
      </w:r>
    </w:p>
    <w:p>
      <w:pPr>
        <w:pStyle w:val="Normal"/>
        <w:numPr>
          <w:ilvl w:val="0"/>
          <w:numId w:val="17"/>
        </w:numPr>
        <w:jc w:val="both"/>
        <w:rPr/>
      </w:pPr>
      <w:r>
        <w:rPr/>
        <w:t>Court action against local pipeline company MVV to secure lower payment for transmission fee (current case)</w:t>
      </w:r>
    </w:p>
    <w:p>
      <w:pPr>
        <w:pStyle w:val="Normal"/>
        <w:numPr>
          <w:ilvl w:val="0"/>
          <w:numId w:val="17"/>
        </w:numPr>
        <w:jc w:val="both"/>
        <w:rPr/>
      </w:pPr>
      <w:r>
        <w:rPr/>
        <w:t>Negotiations underway with GVS but court action likely against local pipeline company GVS to secure lower payment for transmission fee (current case)</w:t>
      </w:r>
    </w:p>
    <w:p>
      <w:pPr>
        <w:pStyle w:val="Normal"/>
        <w:numPr>
          <w:ilvl w:val="0"/>
          <w:numId w:val="17"/>
        </w:numPr>
        <w:jc w:val="both"/>
        <w:rPr/>
      </w:pPr>
      <w:r>
        <w:rPr/>
        <w:t>Denial of pipeline access on the TAG pipe in Austria. Regulatory proceeding underway with Ministry to force pipe open (current case)</w:t>
      </w:r>
    </w:p>
    <w:p>
      <w:pPr>
        <w:pStyle w:val="Normal"/>
        <w:ind w:start="360" w:end="0"/>
        <w:jc w:val="both"/>
        <w:rPr/>
      </w:pPr>
      <w:r>
        <w:rPr/>
      </w:r>
    </w:p>
    <w:p>
      <w:pPr>
        <w:pStyle w:val="Heading3"/>
        <w:ind w:hanging="0" w:start="0"/>
        <w:jc w:val="both"/>
        <w:rPr/>
      </w:pPr>
      <w:r>
        <w:rPr/>
        <w:t>CABLE ACCESS</w:t>
      </w:r>
    </w:p>
    <w:p>
      <w:pPr>
        <w:pStyle w:val="Heading3"/>
        <w:ind w:hanging="0" w:start="0"/>
        <w:jc w:val="both"/>
        <w:rPr/>
      </w:pPr>
      <w:r>
        <w:rPr/>
        <w:t>Active</w:t>
      </w:r>
    </w:p>
    <w:p>
      <w:pPr>
        <w:pStyle w:val="Normal"/>
        <w:numPr>
          <w:ilvl w:val="0"/>
          <w:numId w:val="5"/>
        </w:numPr>
        <w:jc w:val="both"/>
        <w:rPr/>
      </w:pPr>
      <w:r>
        <w:rPr/>
        <w:t>Regulatory support to commercial effort to against owners of Baltic Cable for denial of access on reasonable terms. Efforts have brought Baltic to the table (current case)</w:t>
      </w:r>
    </w:p>
    <w:p>
      <w:pPr>
        <w:pStyle w:val="Normal"/>
        <w:numPr>
          <w:ilvl w:val="0"/>
          <w:numId w:val="5"/>
        </w:numPr>
        <w:jc w:val="both"/>
        <w:rPr/>
      </w:pPr>
      <w:r>
        <w:rPr/>
        <w:t>Regulatory effort to force reasonable access to the Swepol cable (current case)</w:t>
      </w:r>
    </w:p>
    <w:p>
      <w:pPr>
        <w:pStyle w:val="Normal"/>
        <w:jc w:val="both"/>
        <w:rPr/>
      </w:pPr>
      <w:r>
        <w:rPr/>
      </w:r>
    </w:p>
    <w:p>
      <w:pPr>
        <w:pStyle w:val="Normal"/>
        <w:jc w:val="both"/>
        <w:rPr>
          <w:b/>
          <w:bCs/>
        </w:rPr>
      </w:pPr>
      <w:r>
        <w:rPr>
          <w:b/>
          <w:bCs/>
        </w:rPr>
        <w:t>M &amp; A CASES</w:t>
      </w:r>
    </w:p>
    <w:p>
      <w:pPr>
        <w:pStyle w:val="Normal"/>
        <w:jc w:val="both"/>
        <w:rPr>
          <w:b/>
          <w:bCs/>
        </w:rPr>
      </w:pPr>
      <w:r>
        <w:rPr>
          <w:b/>
          <w:bCs/>
        </w:rPr>
        <w:t>Active</w:t>
      </w:r>
    </w:p>
    <w:p>
      <w:pPr>
        <w:pStyle w:val="Normal"/>
        <w:numPr>
          <w:ilvl w:val="0"/>
          <w:numId w:val="22"/>
        </w:numPr>
        <w:jc w:val="both"/>
        <w:rPr/>
      </w:pPr>
      <w:r>
        <w:rPr/>
        <w:t>Intervene in Eon acquisition of Ruhrgas (current case)</w:t>
      </w:r>
    </w:p>
    <w:p>
      <w:pPr>
        <w:pStyle w:val="Normal"/>
        <w:numPr>
          <w:ilvl w:val="0"/>
          <w:numId w:val="22"/>
        </w:numPr>
        <w:jc w:val="both"/>
        <w:rPr/>
      </w:pPr>
      <w:r>
        <w:rPr/>
        <w:t>Intervene in Eon creation of joint venture with Verbund (current case)</w:t>
      </w:r>
    </w:p>
    <w:p>
      <w:pPr>
        <w:pStyle w:val="Normal"/>
        <w:numPr>
          <w:ilvl w:val="0"/>
          <w:numId w:val="22"/>
        </w:numPr>
        <w:jc w:val="both"/>
        <w:rPr/>
      </w:pPr>
      <w:r>
        <w:rPr/>
        <w:t>Intervene in Eon acquisitions of US utility assets (current case)</w:t>
      </w:r>
    </w:p>
    <w:p>
      <w:pPr>
        <w:pStyle w:val="Normal"/>
        <w:jc w:val="both"/>
        <w:rPr/>
      </w:pPr>
      <w:r>
        <w:rPr/>
      </w:r>
    </w:p>
    <w:p>
      <w:pPr>
        <w:pStyle w:val="Heading3"/>
        <w:ind w:hanging="0" w:start="0"/>
        <w:jc w:val="both"/>
        <w:rPr/>
      </w:pPr>
      <w:r>
        <w:rPr/>
        <w:t>NETWORK ACCESS</w:t>
      </w:r>
    </w:p>
    <w:p>
      <w:pPr>
        <w:pStyle w:val="Normal"/>
        <w:jc w:val="both"/>
        <w:rPr>
          <w:b/>
          <w:bCs/>
        </w:rPr>
      </w:pPr>
      <w:r>
        <w:rPr>
          <w:b/>
          <w:bCs/>
        </w:rPr>
        <w:t>Active</w:t>
      </w:r>
    </w:p>
    <w:p>
      <w:pPr>
        <w:pStyle w:val="Normal"/>
        <w:numPr>
          <w:ilvl w:val="0"/>
          <w:numId w:val="14"/>
        </w:numPr>
        <w:jc w:val="both"/>
        <w:rPr/>
      </w:pPr>
      <w:r>
        <w:rPr/>
        <w:t>Continuing participation in VV power and gas negotiations</w:t>
      </w:r>
    </w:p>
    <w:p>
      <w:pPr>
        <w:pStyle w:val="Normal"/>
        <w:jc w:val="both"/>
        <w:rPr/>
      </w:pPr>
      <w:r>
        <w:rPr/>
      </w:r>
    </w:p>
    <w:p>
      <w:pPr>
        <w:pStyle w:val="Normal"/>
        <w:jc w:val="both"/>
        <w:rPr>
          <w:b/>
          <w:bCs/>
        </w:rPr>
      </w:pPr>
      <w:r>
        <w:rPr>
          <w:b/>
          <w:bCs/>
        </w:rPr>
        <w:t>CROSS-BORDER TRADE</w:t>
      </w:r>
    </w:p>
    <w:p>
      <w:pPr>
        <w:pStyle w:val="Heading3"/>
        <w:ind w:hanging="0" w:start="0"/>
        <w:jc w:val="both"/>
        <w:rPr/>
      </w:pPr>
      <w:r>
        <w:rPr/>
        <w:t>Active</w:t>
      </w:r>
    </w:p>
    <w:p>
      <w:pPr>
        <w:pStyle w:val="Normal"/>
        <w:numPr>
          <w:ilvl w:val="0"/>
          <w:numId w:val="14"/>
        </w:numPr>
        <w:jc w:val="both"/>
        <w:rPr/>
      </w:pPr>
      <w:r>
        <w:rPr/>
        <w:t>Cross border power flows continue to be threatened by possible introduction of even higher transaction fees and application of reciprocity</w:t>
      </w:r>
    </w:p>
    <w:p>
      <w:pPr>
        <w:pStyle w:val="Normal"/>
        <w:jc w:val="both"/>
        <w:rPr/>
      </w:pPr>
      <w:r>
        <w:rPr/>
      </w:r>
    </w:p>
    <w:p>
      <w:pPr>
        <w:pStyle w:val="Heading3"/>
        <w:ind w:hanging="0" w:start="0"/>
        <w:jc w:val="both"/>
        <w:rPr/>
      </w:pPr>
      <w:r>
        <w:rPr/>
        <w:t>REVISION OF GERMAN ENERGY LAW</w:t>
      </w:r>
    </w:p>
    <w:p>
      <w:pPr>
        <w:pStyle w:val="Normal"/>
        <w:jc w:val="both"/>
        <w:rPr>
          <w:b/>
          <w:bCs/>
        </w:rPr>
      </w:pPr>
      <w:r>
        <w:rPr>
          <w:b/>
          <w:bCs/>
        </w:rPr>
        <w:t>Active</w:t>
      </w:r>
    </w:p>
    <w:p>
      <w:pPr>
        <w:pStyle w:val="Normal"/>
        <w:numPr>
          <w:ilvl w:val="0"/>
          <w:numId w:val="14"/>
        </w:numPr>
        <w:jc w:val="both"/>
        <w:rPr/>
      </w:pPr>
      <w:r>
        <w:rPr/>
        <w:t>German energy law is crippled by lack of transposition of EU gas directive, absence of regulated TPA, and weak requirements on unbundling and non-discrimination</w:t>
      </w:r>
    </w:p>
    <w:p>
      <w:pPr>
        <w:pStyle w:val="Normal"/>
        <w:jc w:val="both"/>
        <w:rPr/>
      </w:pPr>
      <w:r>
        <w:rPr/>
      </w:r>
    </w:p>
    <w:p>
      <w:pPr>
        <w:pStyle w:val="Heading3"/>
        <w:ind w:hanging="0" w:start="0"/>
        <w:jc w:val="both"/>
        <w:rPr/>
      </w:pPr>
      <w:r>
        <w:rPr/>
        <w:t>ON-GOING LOBBYING / PR WORK</w:t>
      </w:r>
    </w:p>
    <w:p>
      <w:pPr>
        <w:pStyle w:val="Normal"/>
        <w:jc w:val="both"/>
        <w:rPr>
          <w:b/>
          <w:bCs/>
        </w:rPr>
      </w:pPr>
      <w:r>
        <w:rPr>
          <w:b/>
          <w:bCs/>
        </w:rPr>
        <w:t>Active</w:t>
      </w:r>
    </w:p>
    <w:p>
      <w:pPr>
        <w:pStyle w:val="Normal"/>
        <w:numPr>
          <w:ilvl w:val="0"/>
          <w:numId w:val="14"/>
        </w:numPr>
        <w:jc w:val="both"/>
        <w:rPr/>
      </w:pPr>
      <w:r>
        <w:rPr/>
        <w:t>Continuing advancement arguments for proper network access, non-discriminatory treatment, and reduction of market power via lobby work, press articles and public speeches, and work through EFET and the establishment of EFET-Germany</w:t>
      </w:r>
    </w:p>
    <w:p>
      <w:pPr>
        <w:pStyle w:val="Normal"/>
        <w:jc w:val="both"/>
        <w:rPr/>
      </w:pPr>
      <w:r>
        <w:rPr/>
      </w:r>
    </w:p>
    <w:p>
      <w:pPr>
        <w:pStyle w:val="Normal"/>
        <w:jc w:val="both"/>
        <w:rPr/>
      </w:pPr>
      <w:r>
        <w:rPr/>
      </w:r>
    </w:p>
    <w:p>
      <w:pPr>
        <w:pStyle w:val="Normal"/>
        <w:jc w:val="both"/>
        <w:rPr/>
      </w:pPr>
      <w:r>
        <w:rPr/>
      </w:r>
    </w:p>
    <w:p>
      <w:pPr>
        <w:pStyle w:val="Normal"/>
        <w:ind w:start="360" w:end="0"/>
        <w:jc w:val="both"/>
        <w:rPr>
          <w:b/>
          <w:bCs/>
        </w:rPr>
      </w:pPr>
      <w:r>
        <w:rPr>
          <w:b/>
          <w:bCs/>
        </w:rPr>
      </w:r>
    </w:p>
    <w:p>
      <w:pPr>
        <w:pStyle w:val="Normal"/>
        <w:jc w:val="both"/>
        <w:rPr>
          <w:b/>
          <w:bCs/>
          <w:sz w:val="28"/>
        </w:rPr>
      </w:pPr>
      <w:r>
        <w:rPr>
          <w:b/>
          <w:bCs/>
          <w:sz w:val="28"/>
        </w:rPr>
      </w:r>
    </w:p>
    <w:sectPr>
      <w:footerReference w:type="default" r:id="rId2"/>
      <w:type w:val="nextPage"/>
      <w:pgSz w:w="12240" w:h="15840"/>
      <w:pgMar w:left="1800" w:right="180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lang w:val="en-GB"/>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r>
      <w:rPr>
        <w:rStyle w:val="PageNumber"/>
        <w:sz w:val="18"/>
      </w:rPr>
      <w:tab/>
      <w:tab/>
      <w:t>31 August 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lvl w:ilvl="1">
      <w:start w:val="4"/>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bullet"/>
      <w:lvlText w:val=""/>
      <w:lvlJc w:val="start"/>
      <w:pPr>
        <w:tabs>
          <w:tab w:val="num" w:pos="720"/>
        </w:tabs>
        <w:ind w:start="720" w:hanging="360"/>
      </w:pPr>
      <w:rPr>
        <w:rFonts w:ascii="Symbol" w:hAnsi="Symbol" w:cs="Symbol" w:hint="default"/>
      </w:rPr>
    </w:lvl>
  </w:abstractNum>
  <w:abstractNum w:abstractNumId="26">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autoSpaceDE w:val="false"/>
      <w:jc w:val="both"/>
      <w:outlineLvl w:val="3"/>
    </w:pPr>
    <w:rPr>
      <w:b/>
      <w:bCs/>
      <w:sz w:val="28"/>
      <w:szCs w:val="20"/>
    </w:rPr>
  </w:style>
  <w:style w:type="paragraph" w:styleId="Heading5">
    <w:name w:val="heading 5"/>
    <w:basedOn w:val="Normal"/>
    <w:next w:val="Normal"/>
    <w:qFormat/>
    <w:pPr>
      <w:keepNext w:val="true"/>
      <w:numPr>
        <w:ilvl w:val="4"/>
        <w:numId w:val="1"/>
      </w:numPr>
      <w:autoSpaceDE w:val="false"/>
      <w:jc w:val="both"/>
      <w:outlineLvl w:val="4"/>
    </w:pPr>
    <w:rPr>
      <w:b/>
      <w:bCs/>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Times New Roman" w:hAnsi="Times New Roman" w:eastAsia="Times New Roman" w:cs="Times New Roman"/>
    </w:rPr>
  </w:style>
  <w:style w:type="character" w:styleId="WW8Num16z4">
    <w:name w:val="WW8Num16z4"/>
    <w:qFormat/>
    <w:rPr>
      <w:rFonts w:ascii="Courier New" w:hAnsi="Courier New" w:cs="Courier New"/>
    </w:rPr>
  </w:style>
  <w:style w:type="character" w:styleId="WW8Num16z5">
    <w:name w:val="WW8Num16z5"/>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St16z0">
    <w:name w:val="WW8NumSt16z0"/>
    <w:qFormat/>
    <w:rPr>
      <w:rFonts w:ascii="Symbol" w:hAnsi="Symbol" w:cs="Symbol"/>
    </w:rPr>
  </w:style>
  <w:style w:type="character" w:styleId="WW8NumSt16z1">
    <w:name w:val="WW8NumSt16z1"/>
    <w:qFormat/>
    <w:rPr>
      <w:rFonts w:ascii="Courier New" w:hAnsi="Courier New" w:cs="Courier New"/>
    </w:rPr>
  </w:style>
  <w:style w:type="character" w:styleId="WW8NumSt16z2">
    <w:name w:val="WW8NumSt1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32"/>
      <w:lang w:val="en-GB"/>
    </w:rPr>
  </w:style>
  <w:style w:type="paragraph" w:styleId="BodyText">
    <w:name w:val="Body Text"/>
    <w:basedOn w:val="Normal"/>
    <w:pPr>
      <w:jc w:val="both"/>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2001-08-30T14:23:00Z</dcterms:created>
  <dc:creator>mglen</dc:creator>
  <dc:description/>
  <dc:language>en-CA</dc:language>
  <cp:lastModifiedBy>akeenan</cp:lastModifiedBy>
  <cp:lastPrinted>2001-08-30T18:02:00Z</cp:lastPrinted>
  <dcterms:modified xsi:type="dcterms:W3CDTF">2001-08-30T14:49:00Z</dcterms:modified>
  <cp:revision>18</cp:revision>
  <dc:subject/>
  <dc:title>Government &amp; Regulatory Affairs Overall Activities</dc:title>
</cp:coreProperties>
</file>