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Enron Points for Consideration in the NERC Task Force focused on Stakeholder Committee Composition (Dave Goulding - IMO)</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 xml:space="preserve">To consider the appropriate make-up of a NERC Stakeholder Committee, there are other issues that must be considered.  Building the appropriate voting membership at NERC is not possible or credible without thoughtful consideration of how the Committees interact in the entire NERC organization.  The correct make-up of the NERC Committees hinges on the standards approval process, Regional Council scope and purpose, NERC funding, Budget approval authority, and Independent Board member authority.  </w:t>
      </w:r>
    </w:p>
    <w:p>
      <w:pPr>
        <w:pStyle w:val="Normal"/>
        <w:autoSpaceDE w:val="false"/>
        <w:rPr>
          <w:rFonts w:ascii="Arial" w:hAnsi="Arial" w:cs="Arial"/>
          <w:sz w:val="20"/>
          <w:szCs w:val="20"/>
        </w:rPr>
      </w:pPr>
      <w:r>
        <w:rPr>
          <w:rFonts w:cs="Arial" w:ascii="Arial" w:hAnsi="Arial"/>
          <w:sz w:val="20"/>
          <w:szCs w:val="20"/>
        </w:rPr>
      </w:r>
    </w:p>
    <w:p>
      <w:pPr>
        <w:pStyle w:val="Heading1"/>
        <w:ind w:hanging="0" w:start="0"/>
        <w:rPr/>
      </w:pPr>
      <w:r>
        <w:rPr/>
        <w:t>Scope of Task Force</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 xml:space="preserve">First of all, the Task Force needs to define its scope.  At the June 2001, Wash DC NERC Stakeholder Committee meeting, Dave Goulding (IMO) was asked to assemble a group to address the composition of the new Stakeholder Committee.  Does the composition question end there?  Or given the light of the FERC Technical Conference comments regarding GISB, has the scope of this Task Force expanded to address composition of ALL NERC standing committees?  </w:t>
      </w:r>
    </w:p>
    <w:p>
      <w:pPr>
        <w:pStyle w:val="Normal"/>
        <w:autoSpaceDE w:val="false"/>
        <w:rPr>
          <w:rFonts w:ascii="Arial" w:hAnsi="Arial" w:cs="Arial"/>
          <w:sz w:val="20"/>
          <w:szCs w:val="20"/>
        </w:rPr>
      </w:pPr>
      <w:r>
        <w:rPr>
          <w:rFonts w:cs="Arial" w:ascii="Arial" w:hAnsi="Arial"/>
          <w:sz w:val="20"/>
          <w:szCs w:val="20"/>
        </w:rPr>
      </w:r>
    </w:p>
    <w:p>
      <w:pPr>
        <w:pStyle w:val="Heading1"/>
        <w:ind w:hanging="0" w:start="0"/>
        <w:rPr/>
      </w:pPr>
      <w:r>
        <w:rPr/>
        <w:t>No Balance Possible – No Balance Required</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Next, NERC must not be able to hold the need for Regional Council representation as an "almighty right."  The domination of NERC by TPs is a result of multiple "segments" of the same interests having seats on the Committees. IOUs, Federals, Munis, Regional Council reps, and soon to be RTOs all have similar interests yet all have a seat.  Today, marketers and IPPs have a total of only 4 seats on each of the 3 Committees!  Next, because of the funding dilemma, NERC must add 10 seats to each committee for the Regional Councils that are dominated by providers.  Remember, there are no independence or "balance" requirements in any Regional Council.  It is impossible to achieve "balance" as NERC envisions.</w:t>
      </w:r>
    </w:p>
    <w:p>
      <w:pPr>
        <w:pStyle w:val="Normal"/>
        <w:autoSpaceDE w:val="false"/>
        <w:rPr>
          <w:rFonts w:ascii="Arial" w:hAnsi="Arial" w:cs="Arial"/>
          <w:sz w:val="20"/>
          <w:szCs w:val="20"/>
        </w:rPr>
      </w:pPr>
      <w:r>
        <w:rPr>
          <w:rFonts w:cs="Arial" w:ascii="Arial" w:hAnsi="Arial"/>
          <w:sz w:val="20"/>
          <w:szCs w:val="20"/>
        </w:rPr>
      </w:r>
    </w:p>
    <w:p>
      <w:pPr>
        <w:pStyle w:val="Heading1"/>
        <w:ind w:hanging="0" w:start="0"/>
        <w:rPr/>
      </w:pPr>
      <w:r>
        <w:rPr/>
        <w:t>No Regional Council Representation Required</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 xml:space="preserve">The Regional Councils allowed going forward with the Independent Board contingent upon setting up a Stakeholder Committee since the funding of NERC would continue under the existing method.  Why must Regions be represented separate from their members who already have a seat at NERC?  Regional Councils have not demonstrated a commitment to provide balanced voting inside their processes and certainly have no independent Board of Trustees.  A marketer could have a vote at the Region level, but the Regional representative on a NERC committee will likely carry the opinion of that Region’s dominant segment, transmission providers.   If the Regions have a seat on the NERC committees, adding more "customer" seats to balance out the membership is not a solution.  The problem is of course  - who will fill all these additional customer seats?   Marketers, IPPs, end-use customers have limited participation ability.  To fill these customer seats to achieve “balance”, NERC has even defined "customers" loosely to allow a broader cross-section of the industry to fill customer positions on subcommittees.  TDUs, coops, and some municipalities have been considered customers because they buy some amount of transmission service – yet many own and sell transmission service, are vertically integrated, and are not corporately unbundled.   </w:t>
      </w:r>
    </w:p>
    <w:p>
      <w:pPr>
        <w:pStyle w:val="Normal"/>
        <w:autoSpaceDE w:val="false"/>
        <w:rPr>
          <w:rFonts w:ascii="Arial" w:hAnsi="Arial" w:cs="Arial"/>
          <w:sz w:val="20"/>
          <w:szCs w:val="20"/>
        </w:rPr>
      </w:pPr>
      <w:r>
        <w:rPr>
          <w:rFonts w:cs="Arial" w:ascii="Arial" w:hAnsi="Arial"/>
          <w:sz w:val="20"/>
          <w:szCs w:val="20"/>
        </w:rPr>
      </w:r>
    </w:p>
    <w:p>
      <w:pPr>
        <w:pStyle w:val="Heading1"/>
        <w:ind w:hanging="0" w:start="0"/>
        <w:rPr/>
      </w:pPr>
      <w:r>
        <w:rPr/>
        <w:t>Need for Segments</w:t>
      </w:r>
    </w:p>
    <w:p>
      <w:pPr>
        <w:pStyle w:val="Normal"/>
        <w:autoSpaceDE w:val="false"/>
        <w:rPr>
          <w:rFonts w:ascii="Arial" w:hAnsi="Arial" w:cs="Arial"/>
          <w:sz w:val="20"/>
          <w:szCs w:val="20"/>
        </w:rPr>
      </w:pPr>
      <w:r>
        <w:rPr>
          <w:rFonts w:cs="Arial" w:ascii="Arial" w:hAnsi="Arial"/>
          <w:sz w:val="20"/>
          <w:szCs w:val="20"/>
        </w:rPr>
        <w:br/>
        <w:t>NERC has always claimed that they have "balanced" representation assuming that it is possible to split the industry into 2 factions. This is naive and must be replaced with a new paradigm, that the industry consists of a plethora of players representing a continuum of interests.  Even more, these interests are continuously changing with mergers, acquisitions and unbundling.  This is what makes the GISB segment approach appealing.  With segments, companies do not have to pledge allegiance to a particular faction - TP or TC?  In fact, if a company has wires, is a marketer, builds generators for profit and is non-jurisdictional, it does not matter.  They can have a seat in any and all segments.  This provides the ability for each one of that company's interests to have a say without intruding on the ability of the other business line to have a voice.  So, we don't need "balance", we need the IPP and marketers to have equal weight against the other segments. With segment representation, the game changes from dominating the votes to one of truly coming up with a unified segment view that can get the other segments to "buy-in" or if necessary "settle" or compromise.  We don't have this behavior at NERC today.  TPs don't have to compromise because they know they can out-vote customers at some level of the NERC process and dissenting opinions get swept under the rug.</w:t>
      </w:r>
    </w:p>
    <w:p>
      <w:pPr>
        <w:pStyle w:val="Normal"/>
        <w:autoSpaceDE w:val="false"/>
        <w:rPr>
          <w:rFonts w:ascii="Arial" w:hAnsi="Arial" w:cs="Arial"/>
          <w:sz w:val="20"/>
          <w:szCs w:val="20"/>
        </w:rPr>
      </w:pPr>
      <w:r>
        <w:rPr>
          <w:rFonts w:cs="Arial" w:ascii="Arial" w:hAnsi="Arial"/>
          <w:sz w:val="20"/>
          <w:szCs w:val="20"/>
        </w:rPr>
      </w:r>
    </w:p>
    <w:p>
      <w:pPr>
        <w:pStyle w:val="Heading1"/>
        <w:ind w:hanging="0" w:start="0"/>
        <w:rPr/>
      </w:pPr>
      <w:r>
        <w:rPr/>
        <w:t>All Opinions Addressed</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The important corollary, which GISB provides to the segment representation, is the requirement that all views get addressed before a standard can be adopted.  This approach facilitates the process of gauging how much of a standard falls under the “reliability” circle and how much falls under the “commercial” circle.  If a proposed standard is truly 100% reliability oriented, then the market segments will have little or no dissent.  Most of the debates will lie in the operational, and technical segments.   If a proposed standard has little or no reliability impacts, then the operator segment will have very little need to comment.  Most of the planning standards and some of the performance standards gives a flavor of how this segregation is possible.</w:t>
      </w:r>
    </w:p>
    <w:p>
      <w:pPr>
        <w:pStyle w:val="Normal"/>
        <w:autoSpaceDE w:val="false"/>
        <w:rPr>
          <w:rFonts w:ascii="Arial" w:hAnsi="Arial" w:cs="Arial"/>
          <w:sz w:val="20"/>
          <w:szCs w:val="20"/>
        </w:rPr>
      </w:pPr>
      <w:r>
        <w:rPr>
          <w:rFonts w:cs="Arial" w:ascii="Arial" w:hAnsi="Arial"/>
          <w:sz w:val="20"/>
          <w:szCs w:val="20"/>
        </w:rPr>
      </w:r>
    </w:p>
    <w:p>
      <w:pPr>
        <w:pStyle w:val="Heading1"/>
        <w:ind w:hanging="0" w:start="0"/>
        <w:rPr/>
      </w:pPr>
      <w:r>
        <w:rPr/>
        <w:t xml:space="preserve">Role of the Stakeholder Committee and the Independent Board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The Independent Board and the proposed NERC Organization Standards Process won't provide much help if NERC remains with a 50/50 balance model.  Under this model, assume that customers are truly customers (lets say 15 Enron-like reps) and providers are truly providers (lets say 15 SoCo-like reps constitute a committee) then neither side will be likely to give in on the tough issues and the Independent Board will be called to resolve the dissenting opinions.  The risk to this solution is that the Independents may tend to vote in favor of the operators because of a lack of technical understanding of the risks to reliability. Providers know this - that is why the Stakeholder Committee composition is critical.  It can become the final checkpoint for the Independents on the market vs. reliability debate.  The Regions cannot use the Stakeholder Committee as another Standing Committee to railroad the work at the Committee level.   The technical expertise and decisions should have been debated and resolved before ever getting out of committee.  The Stakeholder Committee must not blockade any dissenting positions.  The Stakeholder Committee should not have the authority to stop projects that have been approved by the Committees.   If the Committees agree and approve a project, the Stakeholders must be obligated to the Committees to fund the project.  If the Stakeholders cannot resolve funding issues, then the Independents must have the authority to decide.  This creates the "stick" to provide incentive for the membership to settle budget disputes amongst themselves.   If the Stakeholders have the authority to yank funding from the Standing Committees, then the Independent Board will have no authority over NERC’s focus and direction due to a lack of project implementation authority.</w:t>
      </w:r>
    </w:p>
    <w:p>
      <w:pPr>
        <w:pStyle w:val="Normal"/>
        <w:autoSpaceDE w:val="false"/>
        <w:rPr>
          <w:rFonts w:ascii="Arial" w:hAnsi="Arial" w:cs="Arial"/>
          <w:sz w:val="20"/>
          <w:szCs w:val="20"/>
        </w:rPr>
      </w:pPr>
      <w:r>
        <w:rPr>
          <w:rFonts w:cs="Arial" w:ascii="Arial" w:hAnsi="Arial"/>
          <w:sz w:val="20"/>
          <w:szCs w:val="20"/>
        </w:rPr>
      </w:r>
    </w:p>
    <w:p>
      <w:pPr>
        <w:pStyle w:val="Heading1"/>
        <w:ind w:hanging="0" w:start="0"/>
        <w:rPr/>
      </w:pPr>
      <w:r>
        <w:rPr/>
        <w:t>Next Steps – One Organization or Two?</w:t>
      </w:r>
    </w:p>
    <w:p>
      <w:pPr>
        <w:pStyle w:val="Normal"/>
        <w:autoSpaceDE w:val="false"/>
        <w:rPr>
          <w:rFonts w:ascii="Arial" w:hAnsi="Arial" w:cs="Arial"/>
          <w:sz w:val="20"/>
          <w:szCs w:val="20"/>
          <w:u w:val="single"/>
        </w:rPr>
      </w:pPr>
      <w:r>
        <w:rPr>
          <w:rFonts w:cs="Arial" w:ascii="Arial" w:hAnsi="Arial"/>
          <w:sz w:val="20"/>
          <w:szCs w:val="20"/>
          <w:u w:val="single"/>
        </w:rPr>
      </w:r>
    </w:p>
    <w:p>
      <w:pPr>
        <w:pStyle w:val="Normal"/>
        <w:autoSpaceDE w:val="false"/>
        <w:rPr>
          <w:rFonts w:ascii="Arial" w:hAnsi="Arial" w:cs="Arial"/>
          <w:sz w:val="20"/>
          <w:szCs w:val="20"/>
        </w:rPr>
      </w:pPr>
      <w:r>
        <w:rPr>
          <w:rFonts w:cs="Arial" w:ascii="Arial" w:hAnsi="Arial"/>
          <w:sz w:val="20"/>
          <w:szCs w:val="20"/>
        </w:rPr>
        <w:t xml:space="preserve">If this task force can come up with a recommendation that NERC reorganizes into a GISB like segmented structure, then the next step is to adopt the GISB requirement to address all segment opinions/positions before a standard can be approved.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If success can be made on these two fronts, then this sets up NERC to be able to address the next question - one organization or two?  If NERC cannot mimic a GISB process/structure, then they must divorce themselves of any commercial/market interface issues and the industry should from a separate organization.   If the industry players can accept the GISB model, then a charter can constituted to form a new single organization that deals with all electric issues: reliability, commercial, market interface, wholesale level, and retail level.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sz w:val="20"/>
      <w:szCs w:val="2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jc w:val="center"/>
    </w:pPr>
    <w:rPr>
      <w:rFonts w:ascii="Arial" w:hAnsi="Arial" w:cs="Arial"/>
      <w:b/>
      <w:bCs/>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2001-07-22T10:47:00Z</dcterms:created>
  <dc:creator>cyeung</dc:creator>
  <dc:description/>
  <dc:language>en-CA</dc:language>
  <cp:lastModifiedBy>cyeung</cp:lastModifiedBy>
  <cp:lastPrinted>2001-07-23T10:18:00Z</cp:lastPrinted>
  <dcterms:modified xsi:type="dcterms:W3CDTF">2001-07-23T13:00:00Z</dcterms:modified>
  <cp:revision>26</cp:revision>
  <dc:subject/>
  <dc:title>Here are points for EPSA to consider in the upcoming discussions at the NERC Task Force focused on Stakeholder Committee compo</dc:title>
</cp:coreProperties>
</file>