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July 6, 1999</w:t>
      </w:r>
    </w:p>
    <w:p>
      <w:pPr>
        <w:pStyle w:val="Normal"/>
        <w:rPr>
          <w:rFonts w:ascii="Arial" w:hAnsi="Arial" w:cs="Arial"/>
          <w:sz w:val="22"/>
        </w:rPr>
      </w:pPr>
      <w:r>
        <w:rPr>
          <w:rFonts w:cs="Arial" w:ascii="Arial" w:hAnsi="Arial"/>
          <w:sz w:val="22"/>
        </w:rPr>
      </w:r>
    </w:p>
    <w:p>
      <w:pPr>
        <w:pStyle w:val="Heading1"/>
        <w:ind w:hanging="0" w:start="0"/>
        <w:rPr/>
      </w:pPr>
      <w:r>
        <w:rPr/>
        <w:t>VIA FACSIMILE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The Honourable Dr. Stephen West</w:t>
      </w:r>
    </w:p>
    <w:p>
      <w:pPr>
        <w:pStyle w:val="Normal"/>
        <w:rPr>
          <w:rFonts w:ascii="Arial" w:hAnsi="Arial" w:cs="Arial"/>
          <w:sz w:val="22"/>
        </w:rPr>
      </w:pPr>
      <w:r>
        <w:rPr>
          <w:rFonts w:cs="Arial" w:ascii="Arial" w:hAnsi="Arial"/>
          <w:sz w:val="22"/>
        </w:rPr>
        <w:t>Minister of Energy</w:t>
      </w:r>
    </w:p>
    <w:p>
      <w:pPr>
        <w:pStyle w:val="Normal"/>
        <w:rPr>
          <w:rFonts w:ascii="Arial" w:hAnsi="Arial" w:cs="Arial"/>
          <w:sz w:val="22"/>
        </w:rPr>
      </w:pPr>
      <w:r>
        <w:rPr>
          <w:rFonts w:cs="Arial" w:ascii="Arial" w:hAnsi="Arial"/>
          <w:sz w:val="22"/>
        </w:rPr>
        <w:t>408 Legislative Building</w:t>
      </w:r>
    </w:p>
    <w:p>
      <w:pPr>
        <w:pStyle w:val="Normal"/>
        <w:rPr/>
      </w:pPr>
      <w:r>
        <w:rPr>
          <w:rFonts w:cs="Arial" w:ascii="Arial" w:hAnsi="Arial"/>
          <w:sz w:val="22"/>
        </w:rPr>
        <w:t>10800 - 97</w:t>
      </w:r>
      <w:r>
        <w:rPr>
          <w:rFonts w:cs="Arial" w:ascii="Arial" w:hAnsi="Arial"/>
          <w:sz w:val="22"/>
          <w:vertAlign w:val="superscript"/>
        </w:rPr>
        <w:t>th</w:t>
      </w:r>
      <w:r>
        <w:rPr>
          <w:rFonts w:cs="Arial" w:ascii="Arial" w:hAnsi="Arial"/>
          <w:sz w:val="22"/>
        </w:rPr>
        <w:t xml:space="preserve"> Avenue</w:t>
      </w:r>
    </w:p>
    <w:p>
      <w:pPr>
        <w:pStyle w:val="Normal"/>
        <w:rPr>
          <w:rFonts w:ascii="Arial" w:hAnsi="Arial" w:cs="Arial"/>
          <w:sz w:val="22"/>
        </w:rPr>
      </w:pPr>
      <w:r>
        <w:rPr>
          <w:rFonts w:cs="Arial" w:ascii="Arial" w:hAnsi="Arial"/>
          <w:sz w:val="22"/>
        </w:rPr>
        <w:t>Edmonton, Alberta</w:t>
      </w:r>
    </w:p>
    <w:p>
      <w:pPr>
        <w:pStyle w:val="Normal"/>
        <w:rPr>
          <w:rFonts w:ascii="Arial" w:hAnsi="Arial" w:cs="Arial"/>
          <w:b/>
          <w:sz w:val="22"/>
        </w:rPr>
      </w:pPr>
      <w:r>
        <w:rPr>
          <w:rFonts w:cs="Arial" w:ascii="Arial" w:hAnsi="Arial"/>
          <w:sz w:val="22"/>
        </w:rPr>
        <w:t>T5K 2B6</w:t>
      </w:r>
    </w:p>
    <w:p>
      <w:pPr>
        <w:pStyle w:val="Normal"/>
        <w:rPr>
          <w:rFonts w:ascii="Arial" w:hAnsi="Arial" w:cs="Arial"/>
          <w:b/>
          <w:sz w:val="22"/>
        </w:rPr>
      </w:pPr>
      <w:r>
        <w:rPr>
          <w:rFonts w:cs="Arial" w:ascii="Arial" w:hAnsi="Arial"/>
          <w:b/>
          <w:sz w:val="22"/>
        </w:rPr>
      </w:r>
    </w:p>
    <w:p>
      <w:pPr>
        <w:pStyle w:val="Normal"/>
        <w:rPr>
          <w:rFonts w:ascii="Arial" w:hAnsi="Arial" w:cs="Arial"/>
          <w:sz w:val="22"/>
        </w:rPr>
      </w:pPr>
      <w:r>
        <w:rPr>
          <w:rFonts w:cs="Arial" w:ascii="Arial" w:hAnsi="Arial"/>
          <w:sz w:val="22"/>
        </w:rPr>
        <w:t>Dear Minister:</w:t>
      </w:r>
    </w:p>
    <w:p>
      <w:pPr>
        <w:pStyle w:val="Normal"/>
        <w:spacing w:lineRule="atLeast" w:line="240"/>
        <w:jc w:val="both"/>
        <w:rPr>
          <w:rFonts w:ascii="Arial" w:hAnsi="Arial" w:cs="Arial"/>
          <w:sz w:val="22"/>
        </w:rPr>
      </w:pPr>
      <w:r>
        <w:rPr>
          <w:rFonts w:cs="Arial" w:ascii="Arial" w:hAnsi="Arial"/>
          <w:sz w:val="22"/>
        </w:rPr>
      </w:r>
    </w:p>
    <w:p>
      <w:pPr>
        <w:pStyle w:val="Heading2"/>
        <w:ind w:hanging="0" w:start="0"/>
        <w:rPr/>
      </w:pPr>
      <w:r>
        <w:rPr/>
        <w:t>Re:</w:t>
        <w:tab/>
        <w:t>IAT Determination of Power Purchase Arrangements</w:t>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jc w:val="both"/>
        <w:rPr>
          <w:rFonts w:ascii="Arial" w:hAnsi="Arial" w:cs="Arial"/>
          <w:sz w:val="22"/>
        </w:rPr>
      </w:pPr>
      <w:r>
        <w:rPr>
          <w:rFonts w:cs="Arial" w:ascii="Arial" w:hAnsi="Arial"/>
          <w:sz w:val="22"/>
        </w:rPr>
        <w:t>On the eve of the July 9, 1999 deadline of the IAT to file its determination respecting the Power Purchase Arrangements (the “PPA”) with the Alberta Energy and Utilities Board, Enron Capital &amp; Trade Resources Canada Corp. (“ECT Canada”) wishes to bring to your attention its concerns over two fundamental issues that ECT Canada understands may be determined in a manner which will negatively impact the sale of the PPA.  These two issues are change in law, and force majeure.</w:t>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jc w:val="both"/>
        <w:rPr>
          <w:rFonts w:ascii="Arial" w:hAnsi="Arial" w:cs="Arial"/>
          <w:sz w:val="22"/>
        </w:rPr>
      </w:pPr>
      <w:r>
        <w:rPr>
          <w:rFonts w:cs="Arial" w:ascii="Arial" w:hAnsi="Arial"/>
          <w:sz w:val="22"/>
        </w:rPr>
        <w:t>ECT Canada’s views in relation to appropriate treatment of these two important issues are thoroughly canvassed in ECT Canada’s comments to the Independent Assessment Team dated April 30, 1999 and June 18, 1999.  Copies of these comments are enclosed for your reference are articulate the following views of ECT Canada:</w:t>
      </w:r>
    </w:p>
    <w:p>
      <w:pPr>
        <w:pStyle w:val="Normal"/>
        <w:spacing w:lineRule="atLeast" w:line="240"/>
        <w:jc w:val="both"/>
        <w:rPr>
          <w:rFonts w:ascii="Arial" w:hAnsi="Arial" w:cs="Arial"/>
          <w:sz w:val="22"/>
        </w:rPr>
      </w:pPr>
      <w:r>
        <w:rPr>
          <w:rFonts w:cs="Arial" w:ascii="Arial" w:hAnsi="Arial"/>
          <w:sz w:val="22"/>
        </w:rPr>
      </w:r>
    </w:p>
    <w:p>
      <w:pPr>
        <w:pStyle w:val="Normal"/>
        <w:numPr>
          <w:ilvl w:val="0"/>
          <w:numId w:val="2"/>
        </w:numPr>
        <w:spacing w:lineRule="atLeast" w:line="240"/>
        <w:jc w:val="both"/>
        <w:rPr>
          <w:rFonts w:ascii="Arial" w:hAnsi="Arial" w:cs="Arial"/>
          <w:sz w:val="22"/>
        </w:rPr>
      </w:pPr>
      <w:r>
        <w:rPr>
          <w:rFonts w:cs="Arial" w:ascii="Arial" w:hAnsi="Arial"/>
          <w:sz w:val="22"/>
        </w:rPr>
        <w:t>Change in Law</w:t>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jc w:val="both"/>
        <w:rPr>
          <w:rFonts w:ascii="Arial" w:hAnsi="Arial" w:cs="Arial"/>
          <w:sz w:val="22"/>
        </w:rPr>
      </w:pPr>
      <w:r>
        <w:rPr>
          <w:rFonts w:cs="Arial" w:ascii="Arial" w:hAnsi="Arial"/>
          <w:sz w:val="22"/>
        </w:rPr>
        <w:t>It appears the IAT tends to structure the PPA in a manner that would have the buyer of the PPA would assume the entire risk and financial consequences relating to a change in law made subsequent to the auction.  As we know, in the past, consumers in Alberta have borne the risk of any change in law on the basis that any increased costs associated with a change in law were normally recovered by the utility with regulatory process.  The IAT has proposed that this risk be borne by the buyers of the PPA on the grounds that the buyer is better situated than the owner to manage such risk because the buyer stands a good chance of being able to pass on such costs to consumers through the sale of its electricity.  It is ECT Canada’s respectful view that the IAT has failed to fully appreciate the significance of a decision to allocate the change in law risk to a buyer and the potential that certain buyers, including ECT Canada, may elect not to participate in the auction if it is contractually required to assume change in law risk.</w:t>
      </w:r>
      <w:r>
        <w:br w:type="page"/>
      </w:r>
    </w:p>
    <w:p>
      <w:pPr>
        <w:pStyle w:val="Normal"/>
        <w:spacing w:lineRule="atLeast" w:line="240"/>
        <w:jc w:val="both"/>
        <w:rPr>
          <w:rFonts w:ascii="Arial" w:hAnsi="Arial" w:cs="Arial"/>
          <w:sz w:val="22"/>
        </w:rPr>
      </w:pPr>
      <w:r>
        <w:rPr>
          <w:rFonts w:cs="Arial" w:ascii="Arial" w:hAnsi="Arial"/>
          <w:sz w:val="22"/>
        </w:rPr>
      </w:r>
    </w:p>
    <w:p>
      <w:pPr>
        <w:pStyle w:val="Normal"/>
        <w:numPr>
          <w:ilvl w:val="0"/>
          <w:numId w:val="2"/>
        </w:numPr>
        <w:spacing w:lineRule="atLeast" w:line="240"/>
        <w:jc w:val="both"/>
        <w:rPr>
          <w:rFonts w:ascii="Arial" w:hAnsi="Arial" w:cs="Arial"/>
          <w:sz w:val="22"/>
        </w:rPr>
      </w:pPr>
      <w:r>
        <w:rPr>
          <w:rFonts w:cs="Arial" w:ascii="Arial" w:hAnsi="Arial"/>
          <w:sz w:val="22"/>
        </w:rPr>
        <w:t>Force Majeure</w:t>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jc w:val="both"/>
        <w:rPr>
          <w:rFonts w:ascii="Arial" w:hAnsi="Arial" w:cs="Arial"/>
          <w:sz w:val="22"/>
        </w:rPr>
      </w:pPr>
      <w:r>
        <w:rPr>
          <w:rFonts w:cs="Arial" w:ascii="Arial" w:hAnsi="Arial"/>
          <w:sz w:val="22"/>
        </w:rPr>
        <w:t>ECT Canada understands based on the IAT’s preliminary determination that it intends to include a mechanical breakdown of significant proportions, defined as an HILP event, within the definition of force majeure.  Again, the rationale behind this decision by the IAT is to ensure the owners continue to be protected to the extent they have been in the past.  Again, however, the IAT proposes to shift the financial risk associated with this protection from consumers to buyers of the PPAs.  It is ECT Canada’s experience from other jurisdictions that commercial terms include such a broad definition of force majeure do not exist elsewhere and therefore in order for buyers of the PPAs to accommodate this risk, a considerable level of discounting will occur.</w:t>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jc w:val="both"/>
        <w:rPr>
          <w:rFonts w:ascii="Arial" w:hAnsi="Arial" w:cs="Arial"/>
          <w:sz w:val="22"/>
        </w:rPr>
      </w:pPr>
      <w:r>
        <w:rPr>
          <w:rFonts w:cs="Arial" w:ascii="Arial" w:hAnsi="Arial"/>
          <w:sz w:val="22"/>
        </w:rPr>
        <w:t>Although the issues described above are only two issues of literally hundreds of decisions that the IAT has been required to consider, the decision to allocate change in law and force majeure risk to the buyer of the PPA may not simply result in discounted bids but may result in certain parties that would otherwise participate in the PPA auction process, including ECT Canada, from doing so.  It is for this reason that we wish to bring these issues to your attention at this time.</w:t>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jc w:val="both"/>
        <w:rPr>
          <w:rFonts w:ascii="Arial" w:hAnsi="Arial" w:cs="Arial"/>
          <w:sz w:val="22"/>
        </w:rPr>
      </w:pPr>
      <w:r>
        <w:rPr>
          <w:rFonts w:cs="Arial" w:ascii="Arial" w:hAnsi="Arial"/>
          <w:sz w:val="22"/>
        </w:rPr>
        <w:t xml:space="preserve">If my colleagues or I can be of assistance to you in relation to these matters, please do not hesitate to contact me at (403) 974-6754. </w:t>
      </w:r>
    </w:p>
    <w:p>
      <w:pPr>
        <w:pStyle w:val="Normal"/>
        <w:ind w:start="3600" w:end="0"/>
        <w:jc w:val="both"/>
        <w:rPr>
          <w:rFonts w:ascii="Arial" w:hAnsi="Arial" w:cs="Arial"/>
          <w:sz w:val="22"/>
        </w:rPr>
      </w:pPr>
      <w:r>
        <w:rPr>
          <w:rFonts w:cs="Arial" w:ascii="Arial" w:hAnsi="Arial"/>
          <w:sz w:val="22"/>
        </w:rPr>
      </w:r>
    </w:p>
    <w:p>
      <w:pPr>
        <w:pStyle w:val="Normal"/>
        <w:ind w:start="3600" w:end="0"/>
        <w:jc w:val="both"/>
        <w:rPr>
          <w:rFonts w:ascii="Arial" w:hAnsi="Arial" w:cs="Arial"/>
          <w:sz w:val="22"/>
        </w:rPr>
      </w:pPr>
      <w:r>
        <w:rPr>
          <w:rFonts w:cs="Arial" w:ascii="Arial" w:hAnsi="Arial"/>
          <w:sz w:val="22"/>
        </w:rPr>
        <w:t>Yours truly,</w:t>
      </w:r>
    </w:p>
    <w:p>
      <w:pPr>
        <w:pStyle w:val="Normal"/>
        <w:ind w:start="3600" w:end="0"/>
        <w:jc w:val="both"/>
        <w:rPr>
          <w:rFonts w:ascii="Arial" w:hAnsi="Arial" w:cs="Arial"/>
          <w:sz w:val="22"/>
        </w:rPr>
      </w:pPr>
      <w:r>
        <w:rPr>
          <w:rFonts w:cs="Arial" w:ascii="Arial" w:hAnsi="Arial"/>
          <w:sz w:val="22"/>
        </w:rPr>
      </w:r>
    </w:p>
    <w:p>
      <w:pPr>
        <w:pStyle w:val="Normal"/>
        <w:ind w:start="3600" w:end="0"/>
        <w:jc w:val="both"/>
        <w:rPr>
          <w:rFonts w:ascii="Arial" w:hAnsi="Arial" w:cs="Arial"/>
          <w:b/>
          <w:sz w:val="22"/>
        </w:rPr>
      </w:pPr>
      <w:r>
        <w:rPr>
          <w:rFonts w:cs="Arial" w:ascii="Arial" w:hAnsi="Arial"/>
          <w:b/>
          <w:sz w:val="22"/>
        </w:rPr>
        <w:t xml:space="preserve">ENRON CAPITAL &amp; TRADE </w:t>
      </w:r>
    </w:p>
    <w:p>
      <w:pPr>
        <w:pStyle w:val="Normal"/>
        <w:ind w:start="3600" w:end="0"/>
        <w:jc w:val="both"/>
        <w:rPr>
          <w:rFonts w:ascii="Arial" w:hAnsi="Arial" w:cs="Arial"/>
          <w:b/>
          <w:sz w:val="22"/>
        </w:rPr>
      </w:pPr>
      <w:r>
        <w:rPr>
          <w:rFonts w:cs="Arial" w:ascii="Arial" w:hAnsi="Arial"/>
          <w:b/>
          <w:sz w:val="22"/>
        </w:rPr>
        <w:t>RESOURCES CANADA CORP.</w:t>
      </w:r>
    </w:p>
    <w:p>
      <w:pPr>
        <w:pStyle w:val="Normal"/>
        <w:ind w:start="3600" w:end="0"/>
        <w:jc w:val="both"/>
        <w:rPr>
          <w:rFonts w:ascii="Arial" w:hAnsi="Arial" w:cs="Arial"/>
          <w:b/>
          <w:sz w:val="22"/>
        </w:rPr>
      </w:pPr>
      <w:r>
        <w:rPr>
          <w:rFonts w:cs="Arial" w:ascii="Arial" w:hAnsi="Arial"/>
          <w:b/>
          <w:sz w:val="22"/>
        </w:rPr>
      </w:r>
    </w:p>
    <w:p>
      <w:pPr>
        <w:pStyle w:val="Normal"/>
        <w:ind w:start="3600" w:end="0"/>
        <w:jc w:val="both"/>
        <w:rPr>
          <w:rFonts w:ascii="Arial" w:hAnsi="Arial" w:cs="Arial"/>
          <w:sz w:val="22"/>
        </w:rPr>
      </w:pPr>
      <w:r>
        <w:rPr>
          <w:rFonts w:cs="Arial" w:ascii="Arial" w:hAnsi="Arial"/>
          <w:sz w:val="22"/>
        </w:rPr>
      </w:r>
    </w:p>
    <w:p>
      <w:pPr>
        <w:pStyle w:val="Normal"/>
        <w:ind w:start="3600" w:end="0"/>
        <w:jc w:val="both"/>
        <w:rPr>
          <w:rFonts w:ascii="Arial" w:hAnsi="Arial" w:cs="Arial"/>
          <w:sz w:val="22"/>
        </w:rPr>
      </w:pPr>
      <w:r>
        <w:rPr>
          <w:rFonts w:cs="Arial" w:ascii="Arial" w:hAnsi="Arial"/>
          <w:sz w:val="22"/>
        </w:rPr>
      </w:r>
    </w:p>
    <w:p>
      <w:pPr>
        <w:pStyle w:val="Normal"/>
        <w:ind w:start="3600" w:end="0"/>
        <w:jc w:val="both"/>
        <w:rPr>
          <w:rFonts w:ascii="Arial" w:hAnsi="Arial" w:cs="Arial"/>
          <w:sz w:val="22"/>
        </w:rPr>
      </w:pPr>
      <w:r>
        <w:rPr>
          <w:rFonts w:cs="Arial" w:ascii="Arial" w:hAnsi="Arial"/>
          <w:sz w:val="22"/>
        </w:rPr>
        <w:t xml:space="preserve">John Gorman </w:t>
      </w:r>
    </w:p>
    <w:p>
      <w:pPr>
        <w:pStyle w:val="Normal"/>
        <w:ind w:start="3600" w:end="0"/>
        <w:jc w:val="both"/>
        <w:rPr>
          <w:sz w:val="22"/>
        </w:rPr>
      </w:pPr>
      <w:r>
        <w:rPr>
          <w:rFonts w:cs="Arial" w:ascii="Arial" w:hAnsi="Arial"/>
          <w:sz w:val="22"/>
        </w:rPr>
        <w:t>Chairman, President and C.E.O.</w:t>
      </w:r>
    </w:p>
    <w:p>
      <w:pPr>
        <w:pStyle w:val="Normal"/>
        <w:jc w:val="both"/>
        <w:rPr>
          <w:sz w:val="22"/>
        </w:rPr>
      </w:pPr>
      <w:r>
        <w:rPr>
          <w:sz w:val="22"/>
        </w:rPr>
      </w:r>
    </w:p>
    <w:p>
      <w:pPr>
        <w:pStyle w:val="Normal"/>
        <w:jc w:val="both"/>
        <w:rPr>
          <w:rFonts w:ascii="Arial" w:hAnsi="Arial" w:cs="Arial"/>
          <w:sz w:val="22"/>
        </w:rPr>
      </w:pPr>
      <w:r>
        <w:rPr>
          <w:rFonts w:cs="Arial" w:ascii="Arial" w:hAnsi="Arial"/>
          <w:sz w:val="22"/>
        </w:rPr>
        <w:t>RH/ls</w:t>
      </w:r>
    </w:p>
    <w:p>
      <w:pPr>
        <w:pStyle w:val="Normal"/>
        <w:jc w:val="both"/>
        <w:rPr>
          <w:rFonts w:ascii="Arial" w:hAnsi="Arial" w:cs="Arial"/>
          <w:sz w:val="22"/>
        </w:rPr>
      </w:pPr>
      <w:r>
        <w:rPr>
          <w:rFonts w:cs="Arial" w:ascii="Arial" w:hAnsi="Arial"/>
          <w:sz w:val="22"/>
        </w:rPr>
        <w:t>Enclosures (2)</w:t>
      </w:r>
    </w:p>
    <w:p>
      <w:pPr>
        <w:pStyle w:val="Normal"/>
        <w:jc w:val="both"/>
        <w:rPr>
          <w:rFonts w:ascii="Arial" w:hAnsi="Arial" w:cs="Arial"/>
          <w:sz w:val="22"/>
        </w:rPr>
      </w:pPr>
      <w:r>
        <w:rPr>
          <w:rFonts w:cs="Arial" w:ascii="Arial" w:hAnsi="Arial"/>
          <w:sz w:val="22"/>
        </w:rPr>
        <w:t>c:</w:t>
        <w:tab/>
        <w:t>Ken Smith</w:t>
      </w:r>
    </w:p>
    <w:p>
      <w:pPr>
        <w:pStyle w:val="Normal"/>
        <w:jc w:val="both"/>
        <w:rPr>
          <w:rFonts w:ascii="Arial" w:hAnsi="Arial" w:cs="Arial"/>
          <w:sz w:val="22"/>
        </w:rPr>
      </w:pPr>
      <w:r>
        <w:rPr>
          <w:rFonts w:cs="Arial" w:ascii="Arial" w:hAnsi="Arial"/>
          <w:sz w:val="22"/>
        </w:rPr>
        <w:tab/>
        <w:t xml:space="preserve">Deputy Minister of Resource Development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Larry Charach</w:t>
      </w:r>
    </w:p>
    <w:p>
      <w:pPr>
        <w:pStyle w:val="Normal"/>
        <w:ind w:firstLine="720" w:end="0"/>
        <w:jc w:val="both"/>
        <w:rPr>
          <w:rFonts w:ascii="Arial" w:hAnsi="Arial" w:cs="Arial"/>
          <w:sz w:val="22"/>
        </w:rPr>
      </w:pPr>
      <w:r>
        <w:rPr>
          <w:rFonts w:cs="Arial" w:ascii="Arial" w:hAnsi="Arial"/>
          <w:sz w:val="22"/>
        </w:rPr>
        <w:t>Executive Director, Electricity</w:t>
      </w:r>
    </w:p>
    <w:p>
      <w:pPr>
        <w:pStyle w:val="Normal"/>
        <w:jc w:val="both"/>
        <w:rPr>
          <w:rFonts w:ascii="Arial" w:hAnsi="Arial" w:cs="Arial"/>
          <w:sz w:val="22"/>
        </w:rPr>
      </w:pPr>
      <w:r>
        <w:rPr>
          <w:rFonts w:cs="Arial" w:ascii="Arial" w:hAnsi="Arial"/>
          <w:sz w:val="22"/>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 xml:space="preserve">I:\secure\regulatory\letters\Dr.West.let.doc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I:\regulatory\alberta\Gorman’s letter to West 070699.doc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sz w:val="18"/>
      </w:rPr>
    </w:pPr>
    <w:r>
      <w:rPr>
        <w:rFonts w:cs="Arial" w:ascii="Arial" w:hAnsi="Arial"/>
        <w:sz w:val="18"/>
      </w:rPr>
      <w:t>The Honourable Dr. Steven West</w:t>
    </w:r>
  </w:p>
  <w:p>
    <w:pPr>
      <w:pStyle w:val="Header"/>
      <w:jc w:val="end"/>
      <w:rPr>
        <w:rFonts w:ascii="Arial" w:hAnsi="Arial" w:cs="Arial"/>
        <w:sz w:val="18"/>
      </w:rPr>
    </w:pPr>
    <w:r>
      <w:rPr>
        <w:rFonts w:cs="Arial" w:ascii="Arial" w:hAnsi="Arial"/>
        <w:sz w:val="18"/>
      </w:rPr>
      <w:fldChar w:fldCharType="begin"/>
    </w:r>
    <w:r>
      <w:rPr>
        <w:sz w:val="18"/>
        <w:rFonts w:cs="Arial" w:ascii="Arial" w:hAnsi="Arial"/>
      </w:rPr>
      <w:instrText xml:space="preserve"> DATE \@"M/d/yyyy" </w:instrText>
    </w:r>
    <w:r>
      <w:rPr>
        <w:sz w:val="18"/>
        <w:rFonts w:cs="Arial" w:ascii="Arial" w:hAnsi="Arial"/>
      </w:rPr>
      <w:fldChar w:fldCharType="separate"/>
    </w:r>
    <w:r>
      <w:rPr>
        <w:sz w:val="18"/>
        <w:rFonts w:cs="Arial" w:ascii="Arial" w:hAnsi="Arial"/>
      </w:rPr>
      <w:t>9/28/2025</w:t>
    </w:r>
    <w:r>
      <w:rPr>
        <w:sz w:val="18"/>
        <w:rFonts w:cs="Arial" w:ascii="Arial" w:hAnsi="Arial"/>
      </w:rPr>
      <w:fldChar w:fldCharType="end"/>
    </w:r>
  </w:p>
  <w:p>
    <w:pPr>
      <w:pStyle w:val="Header"/>
      <w:jc w:val="end"/>
      <w:rPr>
        <w:rStyle w:val="PageNumber"/>
        <w:rFonts w:ascii="Arial" w:hAnsi="Arial" w:cs="Arial"/>
        <w:sz w:val="18"/>
      </w:rPr>
    </w:pPr>
    <w:r>
      <w:rPr>
        <w:rFonts w:cs="Arial" w:ascii="Arial" w:hAnsi="Arial"/>
        <w:sz w:val="18"/>
      </w:rPr>
      <w:t xml:space="preserve">Page </w:t>
    </w:r>
    <w:r>
      <w:rPr>
        <w:rStyle w:val="PageNumber"/>
        <w:rFonts w:cs="Arial" w:ascii="Arial" w:hAnsi="Arial"/>
        <w:sz w:val="18"/>
      </w:rPr>
      <w:fldChar w:fldCharType="begin"/>
    </w:r>
    <w:r>
      <w:rPr>
        <w:rStyle w:val="PageNumber"/>
        <w:sz w:val="18"/>
        <w:rFonts w:cs="Arial" w:ascii="Arial" w:hAnsi="Arial"/>
      </w:rPr>
      <w:instrText xml:space="preserve"> PAGE </w:instrText>
    </w:r>
    <w:r>
      <w:rPr>
        <w:rStyle w:val="PageNumber"/>
        <w:sz w:val="18"/>
        <w:rFonts w:cs="Arial" w:ascii="Arial" w:hAnsi="Arial"/>
      </w:rPr>
      <w:fldChar w:fldCharType="separate"/>
    </w:r>
    <w:r>
      <w:rPr>
        <w:rStyle w:val="PageNumber"/>
        <w:sz w:val="18"/>
        <w:rFonts w:cs="Arial" w:ascii="Arial" w:hAnsi="Arial"/>
      </w:rPr>
      <w:t>2</w:t>
    </w:r>
    <w:r>
      <w:rPr>
        <w:rStyle w:val="PageNumber"/>
        <w:sz w:val="18"/>
        <w:rFonts w:cs="Arial" w:ascii="Arial" w:hAnsi="Arial"/>
      </w:rPr>
      <w:fldChar w:fldCharType="end"/>
    </w:r>
  </w:p>
  <w:p>
    <w:pPr>
      <w:pStyle w:val="Header"/>
      <w:jc w:val="end"/>
      <w:rPr>
        <w:rStyle w:val="PageNumber"/>
        <w:rFonts w:ascii="Arial" w:hAnsi="Arial" w:cs="Arial"/>
        <w:sz w:val="18"/>
      </w:rPr>
    </w:pPr>
    <w:r>
      <w:rPr/>
    </w:r>
  </w:p>
  <w:p>
    <w:pPr>
      <w:pStyle w:val="Header"/>
      <w:jc w:val="end"/>
      <w:rPr>
        <w:rStyle w:val="PageNumber"/>
        <w:rFonts w:ascii="Arial" w:hAnsi="Arial" w:cs="Arial"/>
        <w:sz w:val="18"/>
      </w:rPr>
    </w:pPr>
    <w:r>
      <w:rPr/>
    </w:r>
  </w:p>
  <w:p>
    <w:pPr>
      <w:pStyle w:val="Header"/>
      <w:jc w:val="end"/>
      <w:rPr>
        <w:rStyle w:val="PageNumber"/>
        <w:rFonts w:ascii="Arial" w:hAnsi="Arial" w:cs="Arial"/>
        <w:sz w:val="18"/>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rFonts w:ascii="Arial" w:hAnsi="Arial" w:cs="Arial"/>
      <w:b/>
      <w:sz w:val="22"/>
    </w:rPr>
  </w:style>
  <w:style w:type="paragraph" w:styleId="Heading2">
    <w:name w:val="heading 2"/>
    <w:basedOn w:val="Normal"/>
    <w:next w:val="Normal"/>
    <w:qFormat/>
    <w:pPr>
      <w:keepNext w:val="true"/>
      <w:numPr>
        <w:ilvl w:val="1"/>
        <w:numId w:val="1"/>
      </w:numPr>
      <w:spacing w:lineRule="atLeast" w:line="240"/>
      <w:jc w:val="both"/>
      <w:outlineLvl w:val="1"/>
    </w:pPr>
    <w:rPr>
      <w:rFonts w:ascii="Arial" w:hAnsi="Arial" w:cs="Arial"/>
      <w:b/>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1999-07-06T11:48:00Z</dcterms:created>
  <dc:creator>rhemsto</dc:creator>
  <dc:description/>
  <dc:language>en-CA</dc:language>
  <cp:lastModifiedBy>Linda Sietzema</cp:lastModifiedBy>
  <cp:lastPrinted>1999-07-06T08:36:00Z</cp:lastPrinted>
  <dcterms:modified xsi:type="dcterms:W3CDTF">1999-07-06T12:06:00Z</dcterms:modified>
  <cp:revision>4</cp:revision>
  <dc:subject/>
  <dc:title>								December 15, 1997</dc:title>
</cp:coreProperties>
</file>