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576" w:hRule="exact"/>
        </w:trPr>
        <w:tc>
          <w:tcPr>
            <w:tcW w:w="708" w:type="dxa"/>
            <w:tcBorders/>
          </w:tcPr>
          <w:p>
            <w:pPr>
              <w:pStyle w:val="Normal"/>
              <w:snapToGrid w:val="false"/>
              <w:ind w:start="-180" w:end="0"/>
              <w:jc w:val="end"/>
              <w:rPr>
                <w:sz w:val="16"/>
              </w:rPr>
            </w:pPr>
            <w:r>
              <w:rPr>
                <w:sz w:val="16"/>
              </w:rPr>
            </w:r>
          </w:p>
          <w:p>
            <w:pPr>
              <w:pStyle w:val="Normal"/>
              <w:ind w:start="-180" w:end="0"/>
              <w:jc w:val="end"/>
              <w:rPr>
                <w:sz w:val="16"/>
              </w:rPr>
            </w:pPr>
            <w:r>
              <w:rPr>
                <w:sz w:val="16"/>
              </w:rPr>
              <w:t>To:</w:t>
            </w:r>
          </w:p>
        </w:tc>
        <w:tc>
          <w:tcPr>
            <w:tcW w:w="6045" w:type="dxa"/>
            <w:tcBorders/>
          </w:tcPr>
          <w:p>
            <w:pPr>
              <w:pStyle w:val="To"/>
              <w:snapToGrid w:val="false"/>
              <w:rPr>
                <w:sz w:val="16"/>
              </w:rPr>
            </w:pPr>
            <w:r>
              <w:rPr>
                <w:sz w:val="16"/>
              </w:rPr>
            </w:r>
          </w:p>
          <w:p>
            <w:pPr>
              <w:pStyle w:val="To"/>
              <w:rPr/>
            </w:pPr>
            <w:r>
              <w:rPr/>
              <w:t>The Files</w:t>
            </w:r>
          </w:p>
        </w:tc>
        <w:tc>
          <w:tcPr>
            <w:tcW w:w="990" w:type="dxa"/>
            <w:tcBorders/>
          </w:tcPr>
          <w:p>
            <w:pPr>
              <w:pStyle w:val="Normal"/>
              <w:snapToGrid w:val="false"/>
              <w:ind w:start="-180" w:end="0"/>
              <w:rPr/>
            </w:pPr>
            <w:r>
              <w:rPr/>
            </w:r>
          </w:p>
        </w:tc>
        <w:tc>
          <w:tcPr>
            <w:tcW w:w="2965" w:type="dxa"/>
            <w:tcBorders/>
          </w:tcPr>
          <w:p>
            <w:pPr>
              <w:pStyle w:val="Heading1"/>
              <w:snapToGrid w:val="false"/>
              <w:ind w:hanging="0" w:start="0"/>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Heading1"/>
              <w:snapToGrid w:val="false"/>
              <w:ind w:hanging="0" w:start="0"/>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Mike Morrison</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Transaction Support</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Impact of Adoption of SFAS 142 - Goodwill and Other Intangibles Assets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September 21, 2001</w:t>
            </w:r>
          </w:p>
        </w:tc>
      </w:tr>
    </w:tbl>
    <w:p>
      <w:pPr>
        <w:pStyle w:val="Body"/>
        <w:rPr/>
      </w:pPr>
      <w:r>
        <w:rPr/>
      </w:r>
      <w:bookmarkStart w:id="1" w:name="StartOfMemo"/>
      <w:bookmarkStart w:id="2" w:name="StartOfMemo"/>
      <w:bookmarkEnd w:id="2"/>
    </w:p>
    <w:p>
      <w:pPr>
        <w:pStyle w:val="BodyText3"/>
        <w:jc w:val="start"/>
        <w:rPr>
          <w:sz w:val="20"/>
        </w:rPr>
      </w:pPr>
      <w:r>
        <w:rPr>
          <w:sz w:val="20"/>
        </w:rPr>
        <w:t xml:space="preserve">In July 2001, the FASB issued FAS 142 Goodwill and Other Intangible Assets.   Upon its adoption goodwill will no longer be amortized and will be tested for impairment on an annual basis at the reporting unit level.   A reporting unit is defined as an operating segment or one level below if certain component criteria are meet.    Enron will adopt this Standard on January 1, 2002.  </w:t>
      </w:r>
    </w:p>
    <w:p>
      <w:pPr>
        <w:pStyle w:val="BodyText3"/>
        <w:jc w:val="start"/>
        <w:rPr>
          <w:sz w:val="20"/>
        </w:rPr>
      </w:pPr>
      <w:r>
        <w:rPr>
          <w:sz w:val="20"/>
        </w:rPr>
      </w:r>
    </w:p>
    <w:p>
      <w:pPr>
        <w:pStyle w:val="BodyText3"/>
        <w:jc w:val="start"/>
        <w:rPr/>
      </w:pPr>
      <w:r>
        <w:rPr>
          <w:sz w:val="20"/>
        </w:rPr>
        <w:t xml:space="preserve">The purpose of this memorandum is to document Enron’s procedures for the initial adoption of this Statement and an analysis of its impact, if any, upon adoption.   See Appendix A for a detail of Enron’s goodwill as of March 31, 2001 </w:t>
      </w:r>
      <w:r>
        <w:rPr>
          <w:b/>
          <w:bCs/>
          <w:sz w:val="20"/>
        </w:rPr>
        <w:t>[being updated to June 30, 2001]</w:t>
      </w:r>
      <w:r>
        <w:rPr>
          <w:sz w:val="20"/>
        </w:rPr>
        <w:t>.    The following individuals were involved with this analysis:</w:t>
      </w:r>
    </w:p>
    <w:p>
      <w:pPr>
        <w:pStyle w:val="BodyText3"/>
        <w:jc w:val="start"/>
        <w:rPr>
          <w:sz w:val="20"/>
        </w:rPr>
      </w:pPr>
      <w:r>
        <w:rPr>
          <w:sz w:val="20"/>
        </w:rPr>
      </w:r>
    </w:p>
    <w:p>
      <w:pPr>
        <w:pStyle w:val="BodyText3"/>
        <w:jc w:val="start"/>
        <w:rPr>
          <w:sz w:val="20"/>
        </w:rPr>
      </w:pPr>
      <w:r>
        <w:rPr>
          <w:sz w:val="20"/>
        </w:rPr>
        <w:t>Bob Butts                       Managing Director, Enron Corp. Controller</w:t>
      </w:r>
    </w:p>
    <w:p>
      <w:pPr>
        <w:pStyle w:val="Normal"/>
        <w:jc w:val="both"/>
        <w:rPr>
          <w:sz w:val="20"/>
        </w:rPr>
      </w:pPr>
      <w:r>
        <w:rPr>
          <w:sz w:val="20"/>
        </w:rPr>
        <w:t xml:space="preserve">Rodney Faldyn </w:t>
        <w:tab/>
        <w:tab/>
        <w:t>Vice President, Corporate Transaction Support</w:t>
      </w:r>
    </w:p>
    <w:p>
      <w:pPr>
        <w:pStyle w:val="Normal"/>
        <w:jc w:val="both"/>
        <w:rPr>
          <w:sz w:val="20"/>
        </w:rPr>
      </w:pPr>
      <w:r>
        <w:rPr>
          <w:sz w:val="20"/>
        </w:rPr>
        <w:t xml:space="preserve">Stan Farmer  </w:t>
        <w:tab/>
        <w:t xml:space="preserve">             Director, Corporate Transaction Support</w:t>
      </w:r>
    </w:p>
    <w:p>
      <w:pPr>
        <w:pStyle w:val="Normal"/>
        <w:jc w:val="both"/>
        <w:rPr>
          <w:sz w:val="20"/>
        </w:rPr>
      </w:pPr>
      <w:r>
        <w:rPr>
          <w:sz w:val="20"/>
        </w:rPr>
        <w:t xml:space="preserve">Mike Morrison </w:t>
        <w:tab/>
        <w:tab/>
        <w:t>Director, Corporate Transaction Support</w:t>
      </w:r>
    </w:p>
    <w:p>
      <w:pPr>
        <w:pStyle w:val="Normal"/>
        <w:jc w:val="both"/>
        <w:rPr>
          <w:sz w:val="20"/>
        </w:rPr>
      </w:pPr>
      <w:r>
        <w:rPr>
          <w:sz w:val="20"/>
        </w:rPr>
      </w:r>
    </w:p>
    <w:p>
      <w:pPr>
        <w:pStyle w:val="Heading4"/>
        <w:ind w:hanging="0" w:start="0"/>
        <w:rPr>
          <w:sz w:val="20"/>
        </w:rPr>
      </w:pPr>
      <w:r>
        <w:rPr>
          <w:sz w:val="20"/>
        </w:rPr>
      </w:r>
    </w:p>
    <w:p>
      <w:pPr>
        <w:pStyle w:val="Heading4"/>
        <w:ind w:hanging="0" w:start="0"/>
        <w:rPr/>
      </w:pPr>
      <w:r>
        <w:rPr/>
        <w:t>Determination of Reporting Units</w:t>
      </w:r>
    </w:p>
    <w:p>
      <w:pPr>
        <w:pStyle w:val="Footer"/>
        <w:tabs>
          <w:tab w:val="clear" w:pos="4320"/>
          <w:tab w:val="clear" w:pos="8640"/>
          <w:tab w:val="left" w:pos="540" w:leader="none"/>
        </w:tabs>
        <w:rPr/>
      </w:pPr>
      <w:r>
        <w:rPr/>
      </w:r>
    </w:p>
    <w:p>
      <w:pPr>
        <w:pStyle w:val="Normal"/>
        <w:rPr/>
      </w:pPr>
      <w:r>
        <w:rPr>
          <w:sz w:val="20"/>
        </w:rPr>
        <w:t>Prior to the adoption of FAS 142, goodwill was generally associated with the net assets of the acquired entity.  There was no concept of allocating goodwill to reporting units.    At the date this Statement is initially applied, an entity shall establish its reporting units based upon its reporting structure at that date, following the guidance of ¶ 30 and</w:t>
      </w:r>
      <w:r>
        <w:rPr/>
        <w:t xml:space="preserve"> </w:t>
      </w:r>
      <w:r>
        <w:rPr>
          <w:sz w:val="20"/>
        </w:rPr>
        <w:t>¶ 31.</w:t>
      </w:r>
    </w:p>
    <w:p>
      <w:pPr>
        <w:pStyle w:val="Normal"/>
        <w:rPr>
          <w:sz w:val="20"/>
        </w:rPr>
      </w:pPr>
      <w:r>
        <w:rPr>
          <w:sz w:val="20"/>
        </w:rPr>
      </w:r>
    </w:p>
    <w:p>
      <w:pPr>
        <w:pStyle w:val="Subject"/>
        <w:tabs>
          <w:tab w:val="left" w:pos="540" w:leader="none"/>
        </w:tabs>
        <w:ind w:start="360" w:end="0"/>
        <w:rPr/>
      </w:pPr>
      <w:r>
        <w:rPr/>
        <w:t xml:space="preserve">¶ 30.  A reporting unit is an operating segment or one level below an operating segment (referred to as a component).   A component of an operating segment is a reporting unit if the component constitutes a business for which discrete financial information is available and segment management regularly reviews the operating results of that component.   However, two or more components of an operating segment shall be aggregated and deemed a single reporting unit if the components have similar operating characteristics.  An operating segment shall be deemed to be a reporting unit if all of its components are similar, if none of its components is a reporting unit, or if it comprises only a single component.   </w:t>
      </w:r>
    </w:p>
    <w:p>
      <w:pPr>
        <w:pStyle w:val="Normal"/>
        <w:rPr>
          <w:sz w:val="20"/>
        </w:rPr>
      </w:pPr>
      <w:r>
        <w:rPr>
          <w:sz w:val="20"/>
        </w:rPr>
      </w:r>
    </w:p>
    <w:p>
      <w:pPr>
        <w:pStyle w:val="Normal"/>
        <w:rPr>
          <w:sz w:val="20"/>
        </w:rPr>
      </w:pPr>
      <w:r>
        <w:rPr>
          <w:sz w:val="20"/>
        </w:rPr>
        <w:t>See Appendix B for the memo and diagram detailing Enron’s anticipated operating segments and reporting units at January 1, 2002.   Appendix B is based upon Enron’s operating and reporting structure as of the date of this memo.    The anticipated reporting units are ETS, PGC, EGAS, Americas, Europe Energy, EGM, EBS, EIM, EGEP, EE&amp;CC, EES and Wind.</w:t>
      </w:r>
    </w:p>
    <w:p>
      <w:pPr>
        <w:pStyle w:val="Normal"/>
        <w:rPr>
          <w:sz w:val="20"/>
        </w:rPr>
      </w:pPr>
      <w:r>
        <w:rPr>
          <w:sz w:val="20"/>
        </w:rPr>
      </w:r>
    </w:p>
    <w:p>
      <w:pPr>
        <w:pStyle w:val="Heading4"/>
        <w:ind w:hanging="0" w:start="0"/>
        <w:rPr>
          <w:sz w:val="20"/>
        </w:rPr>
      </w:pPr>
      <w:r>
        <w:rPr>
          <w:sz w:val="20"/>
        </w:rPr>
      </w:r>
    </w:p>
    <w:p>
      <w:pPr>
        <w:pStyle w:val="Heading4"/>
        <w:ind w:hanging="0" w:start="0"/>
        <w:rPr/>
      </w:pPr>
      <w:r>
        <w:rPr/>
        <w:t>Assigning/Allocating Assets (including Goodwill) and Liabilities to Reporting Units upon Adoption</w:t>
      </w:r>
    </w:p>
    <w:p>
      <w:pPr>
        <w:pStyle w:val="Normal"/>
        <w:rPr/>
      </w:pPr>
      <w:r>
        <w:rPr/>
      </w:r>
    </w:p>
    <w:p>
      <w:pPr>
        <w:pStyle w:val="Subject"/>
        <w:tabs>
          <w:tab w:val="left" w:pos="540" w:leader="none"/>
        </w:tabs>
        <w:rPr/>
      </w:pPr>
      <w:r>
        <w:rPr/>
        <w:t xml:space="preserve">Once reporting units have been determined, it is necessary to allocate all assets (including goodwill) and liabilities to those various reporting units.  According to ¶ 54, recognized net assets, excluding goodwill, shall be assigned to those reporting units using the guidance in ¶ 32 and ¶ 33.   All goodwill recognized in an entity’s statement of financial position at the date this Statement is initially applied should be assigned to one or more reporting units.   Goodwill shall be assigned in a reasonable and supportable manner.   The guidance in ¶ 34 and ¶ 35 should be considered for purposes of assigning goodwill to reporting units upon initial application of this FAS 142.    </w:t>
      </w:r>
    </w:p>
    <w:p>
      <w:pPr>
        <w:pStyle w:val="Subject"/>
        <w:tabs>
          <w:tab w:val="left" w:pos="540" w:leader="none"/>
        </w:tabs>
        <w:rPr/>
      </w:pPr>
      <w:r>
        <w:rPr/>
      </w:r>
    </w:p>
    <w:p>
      <w:pPr>
        <w:pStyle w:val="Subject"/>
        <w:tabs>
          <w:tab w:val="left" w:pos="540" w:leader="none"/>
        </w:tabs>
        <w:rPr/>
      </w:pPr>
      <w:r>
        <w:rPr/>
        <w:t xml:space="preserve">In the basis for conclusions of FAS 142 (¶ 201), the FASB noted that previously recognized goodwill should be assigned based on the current reporting unit structure and not the structure that existed when the goodwill was acquired.   However, the FASB observed that in making that assignment, an entity should consider the source of previously recognized goodwill and the reporting units to which the related acquired nets assets were assigned.  </w:t>
      </w:r>
    </w:p>
    <w:p>
      <w:pPr>
        <w:pStyle w:val="Subject"/>
        <w:tabs>
          <w:tab w:val="left" w:pos="540" w:leader="none"/>
        </w:tabs>
        <w:rPr/>
      </w:pPr>
      <w:r>
        <w:rPr/>
      </w:r>
    </w:p>
    <w:p>
      <w:pPr>
        <w:pStyle w:val="Subject"/>
        <w:tabs>
          <w:tab w:val="left" w:pos="540" w:leader="none"/>
        </w:tabs>
        <w:rPr/>
      </w:pPr>
      <w:r>
        <w:rPr/>
        <w:t>The following represents the appropriate literature for determining which net assets, including goodwill, and liabilities will be assigned to the identified reporting units.</w:t>
      </w:r>
    </w:p>
    <w:p>
      <w:pPr>
        <w:pStyle w:val="Subject"/>
        <w:tabs>
          <w:tab w:val="left" w:pos="540" w:leader="none"/>
        </w:tabs>
        <w:rPr>
          <w:i/>
          <w:i/>
          <w:iCs/>
        </w:rPr>
      </w:pPr>
      <w:r>
        <w:rPr>
          <w:i/>
          <w:iCs/>
        </w:rPr>
      </w:r>
    </w:p>
    <w:p>
      <w:pPr>
        <w:pStyle w:val="Subject"/>
        <w:tabs>
          <w:tab w:val="left" w:pos="540" w:leader="none"/>
        </w:tabs>
        <w:rPr>
          <w:i/>
          <w:i/>
          <w:iCs/>
        </w:rPr>
      </w:pPr>
      <w:r>
        <w:rPr>
          <w:i/>
          <w:iCs/>
        </w:rPr>
        <w:t>Assigning acquired assets and assumed liabilities to reporting units</w:t>
      </w:r>
    </w:p>
    <w:p>
      <w:pPr>
        <w:pStyle w:val="Subject"/>
        <w:tabs>
          <w:tab w:val="left" w:pos="540" w:leader="none"/>
        </w:tabs>
        <w:ind w:hanging="540" w:start="810" w:end="0"/>
        <w:rPr>
          <w:i/>
          <w:i/>
          <w:iCs/>
        </w:rPr>
      </w:pPr>
      <w:r>
        <w:rPr>
          <w:i/>
          <w:iCs/>
        </w:rPr>
      </w:r>
    </w:p>
    <w:p>
      <w:pPr>
        <w:pStyle w:val="Subject"/>
        <w:tabs>
          <w:tab w:val="left" w:pos="540" w:leader="none"/>
        </w:tabs>
        <w:ind w:hanging="540" w:start="810" w:end="0"/>
        <w:rPr/>
      </w:pPr>
      <w:r>
        <w:rPr/>
        <w:t>¶ 32. Under the reporting unit concept, all assets and liabilities (excluding goodwill which is discussed below) shall be assigned to a reporting unit as of the acquisition date if both of the following criteria are met:</w:t>
      </w:r>
    </w:p>
    <w:p>
      <w:pPr>
        <w:pStyle w:val="Subject"/>
        <w:numPr>
          <w:ilvl w:val="0"/>
          <w:numId w:val="3"/>
        </w:numPr>
        <w:tabs>
          <w:tab w:val="left" w:pos="540" w:leader="none"/>
        </w:tabs>
        <w:spacing w:before="120" w:after="0"/>
        <w:ind w:firstLine="18" w:start="792" w:end="0"/>
        <w:rPr/>
      </w:pPr>
      <w:r>
        <w:rPr/>
        <w:t>The asset will be employed in or the liability relates to the operations of a reporting unit.</w:t>
      </w:r>
    </w:p>
    <w:p>
      <w:pPr>
        <w:pStyle w:val="Subject"/>
        <w:numPr>
          <w:ilvl w:val="0"/>
          <w:numId w:val="3"/>
        </w:numPr>
        <w:tabs>
          <w:tab w:val="left" w:pos="540" w:leader="none"/>
        </w:tabs>
        <w:ind w:firstLine="18" w:start="792" w:end="0"/>
        <w:rPr/>
      </w:pPr>
      <w:r>
        <w:rPr/>
        <w:t>The asset or liability will be considered in determining the fair value of the reporting unit.</w:t>
      </w:r>
    </w:p>
    <w:p>
      <w:pPr>
        <w:pStyle w:val="Subject"/>
        <w:tabs>
          <w:tab w:val="left" w:pos="540" w:leader="none"/>
        </w:tabs>
        <w:rPr/>
      </w:pPr>
      <w:r>
        <w:rPr/>
      </w:r>
    </w:p>
    <w:p>
      <w:pPr>
        <w:pStyle w:val="Subject"/>
        <w:tabs>
          <w:tab w:val="left" w:pos="540" w:leader="none"/>
        </w:tabs>
        <w:ind w:hanging="540" w:start="810" w:end="0"/>
        <w:rPr/>
      </w:pPr>
      <w:r>
        <w:rPr/>
        <w:t>¶ 33. Some assets or liabilities may be employed in or relate to the operations of multiple reporting units.   The methodology used to determine the amount of those assets or liabilities to assign to a reporting unit shall be reasonable and supportable and applied in a consistent manner.</w:t>
      </w:r>
    </w:p>
    <w:p>
      <w:pPr>
        <w:pStyle w:val="Subject"/>
        <w:tabs>
          <w:tab w:val="left" w:pos="540" w:leader="none"/>
        </w:tabs>
        <w:rPr/>
      </w:pPr>
      <w:r>
        <w:rPr/>
      </w:r>
    </w:p>
    <w:p>
      <w:pPr>
        <w:pStyle w:val="Subject"/>
        <w:tabs>
          <w:tab w:val="left" w:pos="540" w:leader="none"/>
        </w:tabs>
        <w:rPr>
          <w:i/>
          <w:i/>
          <w:iCs/>
        </w:rPr>
      </w:pPr>
      <w:r>
        <w:rPr>
          <w:i/>
          <w:iCs/>
        </w:rPr>
        <w:t>Assigning goodwill to reporting units</w:t>
      </w:r>
    </w:p>
    <w:p>
      <w:pPr>
        <w:pStyle w:val="Subject"/>
        <w:tabs>
          <w:tab w:val="left" w:pos="540" w:leader="none"/>
        </w:tabs>
        <w:rPr>
          <w:i/>
          <w:i/>
          <w:iCs/>
        </w:rPr>
      </w:pPr>
      <w:r>
        <w:rPr>
          <w:i/>
          <w:iCs/>
        </w:rPr>
      </w:r>
    </w:p>
    <w:p>
      <w:pPr>
        <w:pStyle w:val="Subject"/>
        <w:tabs>
          <w:tab w:val="left" w:pos="540" w:leader="none"/>
        </w:tabs>
        <w:ind w:hanging="540" w:start="810" w:end="0"/>
        <w:rPr/>
      </w:pPr>
      <w:r>
        <w:rPr/>
        <w:t>¶ 34. Goodwill shall be assigned to one or more reporting units as of the acquisition date.   Goodwill shall be assigned to reporting units of the acquiring entity that are expected to benefit from the synergies of the acquisition even though other assets and liabilities of the acquired entity may not be assigned to that reporting unit.   The total amount of acquired goodwill may be divided among a number of reporting units.   The methodology shall be consistent with the objectives of the process of assigning goodwill to reporting units described in ¶ 35.</w:t>
      </w:r>
    </w:p>
    <w:p>
      <w:pPr>
        <w:pStyle w:val="Subject"/>
        <w:tabs>
          <w:tab w:val="left" w:pos="540" w:leader="none"/>
        </w:tabs>
        <w:rPr/>
      </w:pPr>
      <w:r>
        <w:rPr/>
      </w:r>
    </w:p>
    <w:p>
      <w:pPr>
        <w:pStyle w:val="Subject"/>
        <w:tabs>
          <w:tab w:val="left" w:pos="540" w:leader="none"/>
        </w:tabs>
        <w:ind w:hanging="540" w:start="810" w:end="0"/>
        <w:rPr/>
      </w:pPr>
      <w:r>
        <w:rPr/>
        <w:t>¶ 35.  In concept, the amount of goodwill assigned to a reporting unit would be similar to how the amount of goodwill recognized in a business combination is determined.   In essence, the fair value for each reporting unit representing a “purchase price” would be determined, and that purchase price would be allocated to the assets and liabilities of that unit.</w:t>
      </w:r>
    </w:p>
    <w:p>
      <w:pPr>
        <w:pStyle w:val="Subject"/>
        <w:tabs>
          <w:tab w:val="left" w:pos="540" w:leader="none"/>
        </w:tabs>
        <w:rPr/>
      </w:pPr>
      <w:r>
        <w:rPr/>
      </w:r>
    </w:p>
    <w:p>
      <w:pPr>
        <w:pStyle w:val="Subject"/>
        <w:tabs>
          <w:tab w:val="left" w:pos="540" w:leader="none"/>
        </w:tabs>
        <w:rPr/>
      </w:pPr>
      <w:r>
        <w:rPr/>
        <w:t>Based upon Enron’s current organizational and reporting structure, most assets (excluding goodwill) and liabilities are reported under the various business units (operating segments) for which discrete financial information is available.   Enron’s structure currently reports and allocates assets and liabilities to its business units similar to the requirements of SFAS 142, ¶ 32.   As a result there should not be any significant reallocation of assets (excluding goodwill) and liabilities among reporting units.   There are however various assets and liabilities currently reported under Corp. which have not been allocated to the various business units.  Based upon preliminary assessment, there are no significant Corp. assets (excluding goodwill) or liabilities which should be allocated to the various reporting units as those assets or liabilities do not meet the criteria of ¶ 32 a and/or b.</w:t>
        <w:br/>
      </w:r>
    </w:p>
    <w:p>
      <w:pPr>
        <w:pStyle w:val="Subject"/>
        <w:tabs>
          <w:tab w:val="left" w:pos="540" w:leader="none"/>
        </w:tabs>
        <w:rPr/>
      </w:pPr>
      <w:r>
        <w:rPr/>
        <w:t xml:space="preserve">Prior to SFAS 142, goodwill associated with a specific acquisition was generally reported in the acquired business’s or business unit’s accounting records.   Therefore upon initial application of this Statement we will analyze all goodwill and follow the allocation criteria as prescribed in ¶ 34 and ¶ 35.   </w:t>
      </w:r>
    </w:p>
    <w:p>
      <w:pPr>
        <w:pStyle w:val="Subject"/>
        <w:tabs>
          <w:tab w:val="left" w:pos="540" w:leader="none"/>
        </w:tabs>
        <w:rPr/>
      </w:pPr>
      <w:r>
        <w:rPr/>
      </w:r>
    </w:p>
    <w:p>
      <w:pPr>
        <w:pStyle w:val="Heading7"/>
        <w:ind w:hanging="0" w:start="0"/>
        <w:rPr>
          <w:u w:val="single"/>
        </w:rPr>
      </w:pPr>
      <w:r>
        <w:rPr>
          <w:u w:val="single"/>
        </w:rPr>
        <w:t>Portland General Corporation</w:t>
      </w:r>
    </w:p>
    <w:p>
      <w:pPr>
        <w:pStyle w:val="Heading7"/>
        <w:ind w:hanging="0" w:start="0"/>
        <w:rPr>
          <w:u w:val="single"/>
        </w:rPr>
      </w:pPr>
      <w:r>
        <w:rPr>
          <w:u w:val="single"/>
        </w:rPr>
      </w:r>
    </w:p>
    <w:p>
      <w:pPr>
        <w:pStyle w:val="Footer"/>
        <w:tabs>
          <w:tab w:val="clear" w:pos="4320"/>
          <w:tab w:val="clear" w:pos="8640"/>
          <w:tab w:val="left" w:pos="540" w:leader="none"/>
        </w:tabs>
        <w:rPr>
          <w:sz w:val="20"/>
        </w:rPr>
      </w:pPr>
      <w:r>
        <w:rPr>
          <w:sz w:val="20"/>
        </w:rPr>
        <w:t>As of December 31, 2001, the unamortized goodwill associated with the Portland General Corporation (PGC) acquisition will approximate $1.4 billion.</w:t>
      </w:r>
    </w:p>
    <w:p>
      <w:pPr>
        <w:pStyle w:val="Normal"/>
        <w:rPr>
          <w:sz w:val="20"/>
        </w:rPr>
      </w:pPr>
      <w:r>
        <w:rPr>
          <w:sz w:val="20"/>
        </w:rPr>
      </w:r>
    </w:p>
    <w:p>
      <w:pPr>
        <w:pStyle w:val="Heading7"/>
        <w:ind w:hanging="0" w:start="0"/>
        <w:jc w:val="start"/>
        <w:rPr>
          <w:b w:val="false"/>
          <w:bCs w:val="false"/>
        </w:rPr>
      </w:pPr>
      <w:r>
        <w:rPr>
          <w:b w:val="false"/>
          <w:bCs w:val="false"/>
        </w:rPr>
        <w:t xml:space="preserve">The consummation of the acquisition of PGC on July 1, 1997, marked the beginning of a series of acquisitions Enron undertook to capitalize on opportunities it believed would accelerate and augment the growth of its existing energy trading and origination businesses. </w:t>
      </w:r>
    </w:p>
    <w:p>
      <w:pPr>
        <w:pStyle w:val="Heading7"/>
        <w:ind w:hanging="0" w:start="0"/>
        <w:jc w:val="start"/>
        <w:rPr>
          <w:b w:val="false"/>
          <w:bCs w:val="false"/>
        </w:rPr>
      </w:pPr>
      <w:r>
        <w:rPr>
          <w:b w:val="false"/>
          <w:bCs w:val="false"/>
        </w:rPr>
      </w:r>
    </w:p>
    <w:p>
      <w:pPr>
        <w:pStyle w:val="Heading7"/>
        <w:ind w:hanging="0" w:start="0"/>
        <w:jc w:val="start"/>
        <w:rPr>
          <w:b w:val="false"/>
          <w:bCs w:val="false"/>
        </w:rPr>
      </w:pPr>
      <w:r>
        <w:rPr>
          <w:b w:val="false"/>
          <w:bCs w:val="false"/>
        </w:rPr>
        <w:t>From Enron’s perspective, the primary reason for the PGC acquisition was to position Enron to best take advantage of the impending deregulation in the power industry.  It was Enron’s expectation that as the industry deregulated, the price of electricity would become more competitive and likely replace other commodities as the energy source of choice in areas where cross commodity competition existed.  By combining the marketing and risk management expertise of Enron with the physical delivery capabilities and asset operation experience of PGC, Enron believed that it would instantly have the unique ability to provide a full range of energy products and specialty services and be recognized as a strong presence in the wholesale and retail energy markets, both domestically and internationally.  Considering the nature of the power industry’s customer base, most of which has been served by a single utility for decades, the establishment of an early and significant market presence was deemed to be imperative.  It was Enron’s assertion that there was a significant and lasting market advantage that accrued to the first companies to provide services in deregulating industries.  First movers typically have been able to secure low cost customer bases which otherwise would have been extremely expensive to access or build.  However, once the benefits derived from being a first mover were obtained, Enron believed it would no longer be critical to have ownership of physical assets to sustain a competitive advantage in the energy trading and origination arena.</w:t>
      </w:r>
    </w:p>
    <w:p>
      <w:pPr>
        <w:pStyle w:val="Heading7"/>
        <w:ind w:hanging="0" w:start="0"/>
        <w:jc w:val="start"/>
        <w:rPr>
          <w:b w:val="false"/>
          <w:bCs w:val="false"/>
        </w:rPr>
      </w:pPr>
      <w:r>
        <w:rPr>
          <w:b w:val="false"/>
          <w:bCs w:val="false"/>
        </w:rPr>
      </w:r>
    </w:p>
    <w:p>
      <w:pPr>
        <w:pStyle w:val="Heading7"/>
        <w:ind w:hanging="0" w:start="0"/>
        <w:jc w:val="start"/>
        <w:rPr>
          <w:b w:val="false"/>
          <w:bCs w:val="false"/>
        </w:rPr>
      </w:pPr>
      <w:r>
        <w:rPr>
          <w:b w:val="false"/>
          <w:bCs w:val="false"/>
        </w:rPr>
        <w:t>This rationale is evident in many of the external communications Enron made relative to the PGC acquisition.  In a press release, dated November 12, 1996, Enron outlined its purpose for the PGC acquisition.  The following is an excerpt from that press release:</w:t>
      </w:r>
    </w:p>
    <w:p>
      <w:pPr>
        <w:pStyle w:val="Normal"/>
        <w:rPr>
          <w:b/>
          <w:bCs/>
        </w:rPr>
      </w:pPr>
      <w:r>
        <w:rPr>
          <w:b/>
          <w:bCs/>
        </w:rPr>
      </w:r>
    </w:p>
    <w:p>
      <w:pPr>
        <w:pStyle w:val="Normal"/>
        <w:tabs>
          <w:tab w:val="clear" w:pos="540"/>
          <w:tab w:val="left" w:pos="270" w:leader="none"/>
        </w:tabs>
        <w:ind w:hanging="270" w:start="270" w:end="0"/>
        <w:rPr/>
      </w:pPr>
      <w:r>
        <w:rPr>
          <w:rFonts w:eastAsia="Arial"/>
        </w:rPr>
        <w:t xml:space="preserve">    </w:t>
      </w:r>
      <w:r>
        <w:rPr>
          <w:sz w:val="20"/>
        </w:rPr>
        <w:t>The proposed merger represents an outstanding opportunity to create the leading energy company of the future in the North American energy markets:</w:t>
      </w:r>
    </w:p>
    <w:p>
      <w:pPr>
        <w:pStyle w:val="Normal"/>
        <w:numPr>
          <w:ilvl w:val="0"/>
          <w:numId w:val="2"/>
        </w:numPr>
        <w:tabs>
          <w:tab w:val="clear" w:pos="540"/>
          <w:tab w:val="left" w:pos="270" w:leader="none"/>
        </w:tabs>
        <w:spacing w:before="120" w:after="0"/>
        <w:ind w:hanging="446" w:start="720" w:end="0"/>
        <w:rPr>
          <w:sz w:val="20"/>
        </w:rPr>
      </w:pPr>
      <w:r>
        <w:rPr>
          <w:sz w:val="20"/>
        </w:rPr>
        <w:t>It will combine Enron’s natural gas and electricity marketing and risk management expertise with PGC’s wholesale and retail electricity expertise, related assets and people skills;</w:t>
      </w:r>
    </w:p>
    <w:p>
      <w:pPr>
        <w:pStyle w:val="Normal"/>
        <w:numPr>
          <w:ilvl w:val="0"/>
          <w:numId w:val="2"/>
        </w:numPr>
        <w:tabs>
          <w:tab w:val="clear" w:pos="540"/>
          <w:tab w:val="left" w:pos="270" w:leader="none"/>
        </w:tabs>
        <w:ind w:hanging="450" w:start="720" w:end="0"/>
        <w:rPr>
          <w:sz w:val="20"/>
        </w:rPr>
      </w:pPr>
      <w:r>
        <w:rPr>
          <w:sz w:val="20"/>
        </w:rPr>
        <w:t>It will bring more product choices and competitive prices to all customers, large and small, wholesale and eventually retail, too;</w:t>
      </w:r>
    </w:p>
    <w:p>
      <w:pPr>
        <w:pStyle w:val="Normal"/>
        <w:numPr>
          <w:ilvl w:val="0"/>
          <w:numId w:val="2"/>
        </w:numPr>
        <w:tabs>
          <w:tab w:val="clear" w:pos="540"/>
          <w:tab w:val="left" w:pos="270" w:leader="none"/>
        </w:tabs>
        <w:ind w:hanging="450" w:start="720" w:end="0"/>
        <w:rPr>
          <w:sz w:val="20"/>
        </w:rPr>
      </w:pPr>
      <w:r>
        <w:rPr>
          <w:sz w:val="20"/>
        </w:rPr>
        <w:t>It will establish a company that can lead the convergence of gas and electricity as the primary sources of energy in North America in the 21</w:t>
      </w:r>
      <w:r>
        <w:rPr>
          <w:sz w:val="20"/>
          <w:vertAlign w:val="superscript"/>
        </w:rPr>
        <w:t>st</w:t>
      </w:r>
      <w:r>
        <w:rPr>
          <w:sz w:val="20"/>
        </w:rPr>
        <w:t xml:space="preserve"> Century;</w:t>
      </w:r>
    </w:p>
    <w:p>
      <w:pPr>
        <w:pStyle w:val="Normal"/>
        <w:numPr>
          <w:ilvl w:val="0"/>
          <w:numId w:val="2"/>
        </w:numPr>
        <w:tabs>
          <w:tab w:val="clear" w:pos="540"/>
          <w:tab w:val="left" w:pos="270" w:leader="none"/>
        </w:tabs>
        <w:ind w:hanging="450" w:start="720" w:end="0"/>
        <w:rPr>
          <w:sz w:val="20"/>
        </w:rPr>
      </w:pPr>
      <w:r>
        <w:rPr>
          <w:sz w:val="20"/>
        </w:rPr>
        <w:t>It is consistent with Enron’s long-term compound annual earnings growth target of at least 15 percent because it is expected to be accretive to Enron’s earnings per share beginning in the first year after the completion of the merger.</w:t>
      </w:r>
    </w:p>
    <w:p>
      <w:pPr>
        <w:pStyle w:val="Normal"/>
        <w:tabs>
          <w:tab w:val="clear" w:pos="540"/>
        </w:tabs>
        <w:rPr>
          <w:sz w:val="20"/>
        </w:rPr>
      </w:pPr>
      <w:r>
        <w:rPr>
          <w:sz w:val="20"/>
        </w:rPr>
      </w:r>
    </w:p>
    <w:p>
      <w:pPr>
        <w:pStyle w:val="Heading7"/>
        <w:ind w:hanging="0" w:start="0"/>
        <w:jc w:val="start"/>
        <w:rPr>
          <w:b w:val="false"/>
          <w:bCs w:val="false"/>
        </w:rPr>
      </w:pPr>
      <w:r>
        <w:rPr>
          <w:b w:val="false"/>
          <w:bCs w:val="false"/>
        </w:rPr>
        <w:t>In November 1999, Enron announced that it was negotiating the sale of PGC.  In a press release announcing the pending sale, Enron provided further insight into its overall merchant business plan, for which the ownership of physical assets was no longer critical.  The following is an excerpt from that press release:</w:t>
      </w:r>
    </w:p>
    <w:p>
      <w:pPr>
        <w:pStyle w:val="Normal"/>
        <w:rPr>
          <w:b/>
          <w:bCs/>
          <w:sz w:val="20"/>
        </w:rPr>
      </w:pPr>
      <w:r>
        <w:rPr>
          <w:b/>
          <w:bCs/>
          <w:sz w:val="20"/>
        </w:rPr>
      </w:r>
    </w:p>
    <w:p>
      <w:pPr>
        <w:pStyle w:val="BodyTextIndent2"/>
        <w:rPr/>
      </w:pPr>
      <w:r>
        <w:rPr/>
        <w:t>The rapidly evolving competitive electricity market allows us to deliver commodity services and risk management products to our customers without requiring the ownership of a regulated electric utility.</w:t>
      </w:r>
    </w:p>
    <w:p>
      <w:pPr>
        <w:pStyle w:val="Footer"/>
        <w:tabs>
          <w:tab w:val="clear" w:pos="4320"/>
          <w:tab w:val="clear" w:pos="8640"/>
          <w:tab w:val="left" w:pos="540" w:leader="none"/>
        </w:tabs>
        <w:rPr>
          <w:sz w:val="20"/>
        </w:rPr>
      </w:pPr>
      <w:r>
        <w:rPr>
          <w:sz w:val="20"/>
        </w:rPr>
      </w:r>
    </w:p>
    <w:p>
      <w:pPr>
        <w:pStyle w:val="Footer"/>
        <w:tabs>
          <w:tab w:val="clear" w:pos="4320"/>
          <w:tab w:val="clear" w:pos="8640"/>
          <w:tab w:val="left" w:pos="540" w:leader="none"/>
        </w:tabs>
        <w:rPr>
          <w:sz w:val="20"/>
        </w:rPr>
      </w:pPr>
      <w:r>
        <w:rPr>
          <w:sz w:val="20"/>
        </w:rPr>
        <w:t xml:space="preserve">Based on this analysis, it is reasonable to conclude that a significant portion of the premium paid (i.e., goodwill) for PGC is naturally associated with Enron’s objective to accelerate and augment what at that time were its blossoming energy trading and origination businesses.    </w:t>
      </w:r>
    </w:p>
    <w:p>
      <w:pPr>
        <w:pStyle w:val="Footer"/>
        <w:tabs>
          <w:tab w:val="clear" w:pos="4320"/>
          <w:tab w:val="clear" w:pos="8640"/>
          <w:tab w:val="left" w:pos="540" w:leader="none"/>
        </w:tabs>
        <w:rPr>
          <w:sz w:val="20"/>
        </w:rPr>
      </w:pPr>
      <w:r>
        <w:rPr>
          <w:sz w:val="20"/>
        </w:rPr>
      </w:r>
    </w:p>
    <w:p>
      <w:pPr>
        <w:pStyle w:val="Footer"/>
        <w:tabs>
          <w:tab w:val="clear" w:pos="4320"/>
          <w:tab w:val="clear" w:pos="8640"/>
          <w:tab w:val="left" w:pos="540" w:leader="none"/>
        </w:tabs>
        <w:rPr>
          <w:sz w:val="20"/>
        </w:rPr>
      </w:pPr>
      <w:r>
        <w:rPr>
          <w:sz w:val="20"/>
        </w:rPr>
        <w:t xml:space="preserve">With the adoption of FAS 142, the task becomes identifying the most reasonable method to facilitate the assignment of previously recognized goodwill to reporting units identified in conjunction with the adoption of FAS 142.  FAS 142 indicates that because of difficulties inherent in reconstructing conditions that existed when past acquisitions were made, previously recognized goodwill should be assigned based on the current reporting unit structure and not the structure that existed when the goodwill was acquired.   However, in making that assignment, an entity should consider the source of previously recognized goodwill and the reporting units to which the related acquired nets assets were assigned.  </w:t>
      </w:r>
    </w:p>
    <w:p>
      <w:pPr>
        <w:pStyle w:val="Footer"/>
        <w:tabs>
          <w:tab w:val="clear" w:pos="4320"/>
          <w:tab w:val="clear" w:pos="8640"/>
          <w:tab w:val="left" w:pos="540" w:leader="none"/>
        </w:tabs>
        <w:rPr>
          <w:sz w:val="20"/>
        </w:rPr>
      </w:pPr>
      <w:r>
        <w:rPr>
          <w:sz w:val="20"/>
        </w:rPr>
      </w:r>
    </w:p>
    <w:p>
      <w:pPr>
        <w:pStyle w:val="Footer"/>
        <w:tabs>
          <w:tab w:val="clear" w:pos="4320"/>
          <w:tab w:val="clear" w:pos="8640"/>
          <w:tab w:val="left" w:pos="540" w:leader="none"/>
        </w:tabs>
        <w:rPr>
          <w:sz w:val="20"/>
        </w:rPr>
      </w:pPr>
      <w:r>
        <w:rPr>
          <w:sz w:val="20"/>
        </w:rPr>
        <w:t>Prior to the issuance of FAS 142, it was generally understood that goodwill could not be disposed of apart from an enterprise as a whole.  However, a large segment or separable group of assets of an acquired company or the entire acquired company may be sold or otherwise liquidated, and all or a portion of the unamortized cost of goodwill recognized in the acquisition should be included in the costs of the assets sold.  Goodwill should be assigned to the identifiable units at the date of acquisition based on an evaluation of the circumstances existing at that date.  The best source of information for associating goodwill with specific assets is the purchase price analysis prepared by a company at the acquisition date.  If the company’s analysis of the purchase price at the date of acquisition indicates that goodwill was clearly attributable to a segment, division or other component of the acquired business that is later being sold, that goodwill should be included in the carrying amount of the component for purposes of computing the gain or loss on the assets to be sold.</w:t>
      </w:r>
    </w:p>
    <w:p>
      <w:pPr>
        <w:pStyle w:val="Footer"/>
        <w:tabs>
          <w:tab w:val="clear" w:pos="4320"/>
          <w:tab w:val="clear" w:pos="8640"/>
          <w:tab w:val="left" w:pos="540" w:leader="none"/>
        </w:tabs>
        <w:rPr>
          <w:sz w:val="20"/>
        </w:rPr>
      </w:pPr>
      <w:r>
        <w:rPr>
          <w:sz w:val="20"/>
        </w:rPr>
      </w:r>
    </w:p>
    <w:p>
      <w:pPr>
        <w:pStyle w:val="Footer"/>
        <w:tabs>
          <w:tab w:val="clear" w:pos="4320"/>
          <w:tab w:val="clear" w:pos="8640"/>
          <w:tab w:val="left" w:pos="540" w:leader="none"/>
        </w:tabs>
        <w:rPr>
          <w:sz w:val="20"/>
        </w:rPr>
      </w:pPr>
      <w:r>
        <w:rPr>
          <w:sz w:val="20"/>
        </w:rPr>
        <w:t>Based on this earlier guidance and the observation in FAS 142 that the source of previously recognized goodwill should be considered for purposes of assigning goodwill to reporting units, it is reasonable to review Enron’s purchase price analysis prepared in connection with the PGC acquisition.</w:t>
      </w:r>
    </w:p>
    <w:p>
      <w:pPr>
        <w:pStyle w:val="Footer"/>
        <w:tabs>
          <w:tab w:val="clear" w:pos="4320"/>
          <w:tab w:val="clear" w:pos="8640"/>
          <w:tab w:val="left" w:pos="540" w:leader="none"/>
        </w:tabs>
        <w:rPr>
          <w:sz w:val="20"/>
        </w:rPr>
      </w:pPr>
      <w:r>
        <w:rPr>
          <w:sz w:val="20"/>
        </w:rPr>
      </w:r>
    </w:p>
    <w:p>
      <w:pPr>
        <w:pStyle w:val="Footer"/>
        <w:tabs>
          <w:tab w:val="clear" w:pos="4320"/>
          <w:tab w:val="clear" w:pos="8640"/>
          <w:tab w:val="left" w:pos="540" w:leader="none"/>
        </w:tabs>
        <w:rPr>
          <w:sz w:val="20"/>
        </w:rPr>
      </w:pPr>
      <w:r>
        <w:rPr>
          <w:sz w:val="20"/>
        </w:rPr>
        <w:t>The review of Enron’s purchase price analysis further supports Enron’s assertion that the primary reason for acquiring PGC was to accelerate and augment growth in Enron’s existing energy trading and origination businesses.  The schedules included in Appendix C clearly identify the components of the PGC acquisition to which the PGC goodwill should be attributed.  In connection with the PGC acquisition, goodwill totaling $1,574 million was recognized.  Of the total goodwill recognized, $585.8 million is attributable to PGC’s net assets acquired and $988.6 million is attributable to Enron’s energy trading and origination businesses.  The $585.8 million attributed to PGC’s net assets is comprised of $393.4 million of negative valuation adjustments to the net assets acquired, $106.7 million of liability accruals relating to the net assets acquired and a pro rata share of $230.3 million of transaction costs capitalized as part of the purchase price.  The $988.6 million attributed to the energy trading and origination businesses is comprised of $844 million representing the amount by which the value of Enron stock issued in the acquisition exceeded the net book value of PGC’s net assets and a pro rata share of $230.3 million of transaction costs capitalized as part of the purchase price.</w:t>
      </w:r>
    </w:p>
    <w:p>
      <w:pPr>
        <w:pStyle w:val="Footer"/>
        <w:tabs>
          <w:tab w:val="clear" w:pos="4320"/>
          <w:tab w:val="clear" w:pos="8640"/>
          <w:tab w:val="left" w:pos="540" w:leader="none"/>
        </w:tabs>
        <w:rPr>
          <w:sz w:val="20"/>
        </w:rPr>
      </w:pPr>
      <w:r>
        <w:rPr>
          <w:sz w:val="20"/>
        </w:rPr>
      </w:r>
    </w:p>
    <w:p>
      <w:pPr>
        <w:pStyle w:val="Subject"/>
        <w:tabs>
          <w:tab w:val="left" w:pos="540" w:leader="none"/>
        </w:tabs>
        <w:rPr/>
      </w:pPr>
      <w:r>
        <w:rPr/>
        <w:t>The energy trading and origination businesses to which a significant portion of the PGC goodwill was attributed are now included in the Americas reporting unit.  Therefore upon adoption, $871.9 million (projected unamortized balance at December 31, 2001) of goodwill will be assigned to the Americas reporting unit.  Additionally, upon adoption $516.6 million (projected unamortized balance at December 31, 2001) of goodwill will be assigned to the PGC reporting unit.</w:t>
      </w:r>
    </w:p>
    <w:p>
      <w:pPr>
        <w:pStyle w:val="Subject"/>
        <w:tabs>
          <w:tab w:val="left" w:pos="540" w:leader="none"/>
        </w:tabs>
        <w:rPr/>
      </w:pPr>
      <w:r>
        <w:rPr/>
      </w:r>
    </w:p>
    <w:p>
      <w:pPr>
        <w:pStyle w:val="Heading4"/>
        <w:ind w:hanging="0" w:start="0"/>
        <w:rPr/>
      </w:pPr>
      <w:r>
        <w:rPr/>
        <w:t>Elektro</w:t>
      </w:r>
    </w:p>
    <w:p>
      <w:pPr>
        <w:pStyle w:val="Normal"/>
        <w:jc w:val="both"/>
        <w:rPr>
          <w:b/>
          <w:bCs/>
          <w:sz w:val="20"/>
        </w:rPr>
      </w:pPr>
      <w:r>
        <w:rPr>
          <w:b/>
          <w:bCs/>
          <w:sz w:val="20"/>
        </w:rPr>
      </w:r>
    </w:p>
    <w:p>
      <w:pPr>
        <w:pStyle w:val="Normal"/>
        <w:rPr>
          <w:sz w:val="20"/>
        </w:rPr>
      </w:pPr>
      <w:r>
        <w:rPr>
          <w:sz w:val="20"/>
        </w:rPr>
        <w:t>As of December 31, 2001, the net goodwill balance associated with the Elektro Eletricidade e Servicos S.A. (Elektro) acquisition will approximate $600 million.</w:t>
      </w:r>
    </w:p>
    <w:p>
      <w:pPr>
        <w:pStyle w:val="Normal"/>
        <w:rPr>
          <w:sz w:val="20"/>
        </w:rPr>
      </w:pPr>
      <w:r>
        <w:rPr>
          <w:sz w:val="20"/>
        </w:rPr>
      </w:r>
    </w:p>
    <w:p>
      <w:pPr>
        <w:pStyle w:val="Normal"/>
        <w:rPr>
          <w:sz w:val="20"/>
        </w:rPr>
      </w:pPr>
      <w:r>
        <w:rPr>
          <w:sz w:val="20"/>
        </w:rPr>
        <w:t xml:space="preserve">In August 1998, Enron completed the acquisition of a controlling interest in Elektro. The Elektro acquisition represented a continuation of the strategy Enron began pursuing with the PGC acquisition.  During the mid 90’s, Brazil was faced with significant increases in the projected demand of electricity for which its hydro electrical generation could not keep pace.  As a result, Brazil began the process of privatizing its gas and electrical markets.    Enron’s business plan was and continues to be to become a significant player in the development of the energy trading and origination markets within Brazil.  It was determined that the acquisition of Elektro would give Enron an immediate and significant presence in this developing market and enable it to accelerate and augment growth in its existing energy trading and origination businesses.   As indicated in Elektro Executive Committee Presentation, dated July 14, 1998 (the “Presentation”) (see Appendix D), the rationale for the Elektro acquisition was to provide Enron a platform to expand into a vertically-integrated position with the main economic center of the Southern Cone.   This acquisition was expected to provide leveraged distribution, which would position Enron to drive regulatory agendas and advance the development of generation projects.   As indicated in the Presentation, the overall business plan and expectations of developing a merchant power market was an approximate ten-year plan.   The financial model for the acquisition of Elektro assumed that Enron would dispose of the physical Elektro assets within ten years.  </w:t>
      </w:r>
    </w:p>
    <w:p>
      <w:pPr>
        <w:pStyle w:val="Normal"/>
        <w:rPr>
          <w:sz w:val="20"/>
        </w:rPr>
      </w:pPr>
      <w:r>
        <w:rPr>
          <w:sz w:val="20"/>
        </w:rPr>
      </w:r>
    </w:p>
    <w:p>
      <w:pPr>
        <w:pStyle w:val="Normal"/>
        <w:rPr>
          <w:sz w:val="20"/>
        </w:rPr>
      </w:pPr>
      <w:r>
        <w:rPr>
          <w:sz w:val="20"/>
        </w:rPr>
        <w:t>Since the Elektro acquisition, Enron has continued its focus of developing the energy trading and origination markets in Brazilian.   Enron is currently constructing a 380MW merchant power plant (Elektrobolt), which is anticipated to be completed on August 31, 2002.  In 2001, Enron completed the development of a 480 MW power plant (Cuiaba I).</w:t>
      </w:r>
    </w:p>
    <w:p>
      <w:pPr>
        <w:pStyle w:val="Normal"/>
        <w:rPr>
          <w:sz w:val="20"/>
        </w:rPr>
      </w:pPr>
      <w:r>
        <w:rPr>
          <w:sz w:val="20"/>
        </w:rPr>
      </w:r>
    </w:p>
    <w:p>
      <w:pPr>
        <w:pStyle w:val="Normal"/>
        <w:rPr>
          <w:sz w:val="20"/>
        </w:rPr>
      </w:pPr>
      <w:r>
        <w:rPr>
          <w:sz w:val="20"/>
        </w:rPr>
        <w:t>Enron’s overall merchant power business plan has not significantly changed since the 1998 acquisition.   However, the current divestiture plan of Enron’s Southern Cone businesses is primarily related to its investment in certain local gas distribution companies (i.e., assets for which ownership is not required to facilitate the continued acceleration and augmentation of growth in Enron’s existing energy trading and origination businesses).  Enron approximates that it is in year 3 of the 10-year plan contemplated in the original acquisition plan.    As was the case in the PGC acquisition, the premium paid (i.e., goodwill) for Elektro, is necessarily attributable to Enron’s plan to accelerate and augment growth in its existing energy trading and origination businesses.</w:t>
      </w:r>
    </w:p>
    <w:p>
      <w:pPr>
        <w:pStyle w:val="Normal"/>
        <w:rPr>
          <w:sz w:val="20"/>
        </w:rPr>
      </w:pPr>
      <w:r>
        <w:rPr>
          <w:sz w:val="20"/>
        </w:rPr>
      </w:r>
    </w:p>
    <w:p>
      <w:pPr>
        <w:pStyle w:val="Normal"/>
        <w:rPr>
          <w:sz w:val="20"/>
        </w:rPr>
      </w:pPr>
      <w:r>
        <w:rPr>
          <w:sz w:val="20"/>
        </w:rPr>
        <w:t>A review of Enron’s purchase price analysis prepared in connection with the Elektro acquisition further supports Enron’s assertion that the primary reason for acquiring Elektro was to accelerate and augment growth in Enron’s existing energy trading and origination businesses.  The review highlights the fact that since there was a positive valuation adjustment to the net assets acquired (i.e., Elektro’s net assets were written up), residual goodwill is necessarily attributable to something other than the acquired net assets.  As was the case in the PGC acquisition, this premium is attributed to Enron’s existing energy trading and origination businesses.</w:t>
      </w:r>
    </w:p>
    <w:p>
      <w:pPr>
        <w:pStyle w:val="Normal"/>
        <w:rPr>
          <w:sz w:val="20"/>
        </w:rPr>
      </w:pPr>
      <w:r>
        <w:rPr>
          <w:sz w:val="20"/>
        </w:rPr>
      </w:r>
    </w:p>
    <w:p>
      <w:pPr>
        <w:pStyle w:val="Normal"/>
        <w:rPr>
          <w:sz w:val="20"/>
        </w:rPr>
      </w:pPr>
      <w:r>
        <w:rPr>
          <w:sz w:val="20"/>
        </w:rPr>
        <w:t xml:space="preserve">Prior to FAS 142 this goodwill has been reported with the assets and liabilities of Elektro, which is consolidated under the EGAS business unit.   As noted in Appendix B, EGAS is a component of the Transportation &amp; Distribution operating segment.   All South American businesses are part of EGAS, except for the South American energy trading and origination businesses that are managed by and reported under the Americas reporting unit.  Therefore, upon adoption of FAS 142, $600 million (projected unamortized balance at December 31, 2001) will be assigned the energy trading and origination activities of the Southern Cone region, which are managed and reported in the Americas reporting unit.   </w:t>
      </w:r>
    </w:p>
    <w:p>
      <w:pPr>
        <w:pStyle w:val="Subject"/>
        <w:tabs>
          <w:tab w:val="left" w:pos="540" w:leader="none"/>
        </w:tabs>
        <w:rPr>
          <w:sz w:val="20"/>
        </w:rPr>
      </w:pPr>
      <w:r>
        <w:rPr>
          <w:sz w:val="20"/>
        </w:rPr>
      </w:r>
    </w:p>
    <w:p>
      <w:pPr>
        <w:pStyle w:val="Heading7"/>
        <w:ind w:hanging="0" w:start="0"/>
        <w:rPr>
          <w:u w:val="single"/>
        </w:rPr>
      </w:pPr>
      <w:r>
        <w:rPr>
          <w:u w:val="single"/>
        </w:rPr>
        <w:t>Enron Global Power &amp; Pipelines</w:t>
      </w:r>
    </w:p>
    <w:p>
      <w:pPr>
        <w:pStyle w:val="Normal"/>
        <w:rPr>
          <w:u w:val="single"/>
        </w:rPr>
      </w:pPr>
      <w:r>
        <w:rPr>
          <w:u w:val="single"/>
        </w:rPr>
      </w:r>
    </w:p>
    <w:p>
      <w:pPr>
        <w:pStyle w:val="Footer"/>
        <w:tabs>
          <w:tab w:val="clear" w:pos="4320"/>
          <w:tab w:val="clear" w:pos="8640"/>
          <w:tab w:val="left" w:pos="540" w:leader="none"/>
        </w:tabs>
        <w:rPr>
          <w:sz w:val="20"/>
        </w:rPr>
      </w:pPr>
      <w:r>
        <w:rPr>
          <w:sz w:val="20"/>
        </w:rPr>
        <w:t xml:space="preserve">As of December 31, 2001, the net goodwill balance associated with the Enron Global Power &amp; Pipelines L.L.C. (EGPP) minority interest acquisition will approximate $163 million.  </w:t>
      </w:r>
    </w:p>
    <w:p>
      <w:pPr>
        <w:pStyle w:val="Footer"/>
        <w:tabs>
          <w:tab w:val="clear" w:pos="4320"/>
          <w:tab w:val="clear" w:pos="8640"/>
          <w:tab w:val="left" w:pos="540" w:leader="none"/>
        </w:tabs>
        <w:rPr>
          <w:sz w:val="20"/>
        </w:rPr>
      </w:pPr>
      <w:r>
        <w:rPr>
          <w:sz w:val="20"/>
        </w:rPr>
      </w:r>
    </w:p>
    <w:p>
      <w:pPr>
        <w:pStyle w:val="Footer"/>
        <w:tabs>
          <w:tab w:val="clear" w:pos="4320"/>
          <w:tab w:val="clear" w:pos="8640"/>
          <w:tab w:val="left" w:pos="540" w:leader="none"/>
        </w:tabs>
        <w:rPr>
          <w:sz w:val="20"/>
        </w:rPr>
      </w:pPr>
      <w:r>
        <w:rPr>
          <w:sz w:val="20"/>
        </w:rPr>
        <w:t xml:space="preserve">Prior to November 1997, Enron was the majority shareholder in EGPP.   EGPP operations consisted of various international energy assets (power plants and pipelines).   In November 1997, Enron acquired all of EGPP’s minority shareholders’ interests.  </w:t>
      </w:r>
    </w:p>
    <w:p>
      <w:pPr>
        <w:pStyle w:val="Footer"/>
        <w:tabs>
          <w:tab w:val="clear" w:pos="4320"/>
          <w:tab w:val="clear" w:pos="8640"/>
          <w:tab w:val="left" w:pos="540" w:leader="none"/>
        </w:tabs>
        <w:rPr>
          <w:sz w:val="20"/>
        </w:rPr>
      </w:pPr>
      <w:r>
        <w:rPr>
          <w:sz w:val="20"/>
        </w:rPr>
      </w:r>
    </w:p>
    <w:p>
      <w:pPr>
        <w:pStyle w:val="Footer"/>
        <w:tabs>
          <w:tab w:val="clear" w:pos="4320"/>
          <w:tab w:val="clear" w:pos="8640"/>
          <w:tab w:val="left" w:pos="540" w:leader="none"/>
        </w:tabs>
        <w:rPr>
          <w:sz w:val="20"/>
        </w:rPr>
      </w:pPr>
      <w:r>
        <w:rPr>
          <w:sz w:val="20"/>
        </w:rPr>
        <w:t xml:space="preserve">As described in the Elektro section above, during the mid 90s Enron’s business plan was to become a significant participant in the development of the energy trading and origination activities in South America as well in other international regions.   The ability to pursue implementation of this business plan was hindered as a result of business opportunities that Enron had a fiduciary responsibility to present to EGPP due to the presence of minority shareholders.    This coupled with the fact that EGPP was a public company raised concerns that certain sensitive and competitive information (relative to Enron’s broad reaching energy trading and origination business plans) could be included in EGPP’s required disclosures in its stand-alone financial statements that would not be disclosed in the same level of detail in Enron’s financial statements.   The control and disclosure concerns of EGPP were alleviated through the acquisition of EGPP’s minority interest, resulting in the consolidation of EGPP.  Consequently, the EGPP premium (i.e., goodwill) is attributable to Enron’s energy trading and origination businesses and will be assigned to the Americas reporting unit.   </w:t>
      </w:r>
    </w:p>
    <w:p>
      <w:pPr>
        <w:pStyle w:val="Footer"/>
        <w:tabs>
          <w:tab w:val="clear" w:pos="4320"/>
          <w:tab w:val="clear" w:pos="8640"/>
          <w:tab w:val="left" w:pos="540" w:leader="none"/>
        </w:tabs>
        <w:rPr>
          <w:sz w:val="20"/>
        </w:rPr>
      </w:pPr>
      <w:r>
        <w:rPr>
          <w:sz w:val="20"/>
        </w:rPr>
      </w:r>
    </w:p>
    <w:p>
      <w:pPr>
        <w:pStyle w:val="Footer"/>
        <w:tabs>
          <w:tab w:val="clear" w:pos="4320"/>
          <w:tab w:val="clear" w:pos="8640"/>
          <w:tab w:val="left" w:pos="540" w:leader="none"/>
        </w:tabs>
        <w:rPr>
          <w:sz w:val="20"/>
        </w:rPr>
      </w:pPr>
      <w:r>
        <w:rPr>
          <w:sz w:val="20"/>
        </w:rPr>
        <w:t>Therefore, upon adoption of FAS 142, $163 million (projected unamortized balance at December 31, 2001) of goodwill will be assigned to the Americas reporting unit.  As described in Appendix B, Enron’s energy trading and origination activities are managed and reported in the Americas reporting unit.</w:t>
      </w:r>
    </w:p>
    <w:p>
      <w:pPr>
        <w:pStyle w:val="Footer"/>
        <w:tabs>
          <w:tab w:val="clear" w:pos="4320"/>
          <w:tab w:val="clear" w:pos="8640"/>
          <w:tab w:val="left" w:pos="540" w:leader="none"/>
        </w:tabs>
        <w:rPr>
          <w:sz w:val="20"/>
        </w:rPr>
      </w:pPr>
      <w:r>
        <w:rPr>
          <w:sz w:val="20"/>
        </w:rPr>
      </w:r>
    </w:p>
    <w:p>
      <w:pPr>
        <w:pStyle w:val="Subject"/>
        <w:tabs>
          <w:tab w:val="left" w:pos="540" w:leader="none"/>
        </w:tabs>
        <w:rPr>
          <w:b/>
          <w:bCs/>
          <w:u w:val="single"/>
        </w:rPr>
      </w:pPr>
      <w:r>
        <w:rPr>
          <w:b/>
          <w:bCs/>
          <w:u w:val="single"/>
        </w:rPr>
        <w:t>Enron Energy Services, Enron Wind Corp and Enron Europe</w:t>
      </w:r>
    </w:p>
    <w:p>
      <w:pPr>
        <w:pStyle w:val="Subject"/>
        <w:tabs>
          <w:tab w:val="left" w:pos="540" w:leader="none"/>
        </w:tabs>
        <w:rPr>
          <w:b/>
          <w:bCs/>
          <w:u w:val="single"/>
        </w:rPr>
      </w:pPr>
      <w:r>
        <w:rPr>
          <w:b/>
          <w:bCs/>
          <w:u w:val="single"/>
        </w:rPr>
      </w:r>
    </w:p>
    <w:p>
      <w:pPr>
        <w:pStyle w:val="Footer"/>
        <w:tabs>
          <w:tab w:val="clear" w:pos="4320"/>
          <w:tab w:val="clear" w:pos="8640"/>
          <w:tab w:val="left" w:pos="540" w:leader="none"/>
        </w:tabs>
        <w:rPr>
          <w:sz w:val="20"/>
        </w:rPr>
      </w:pPr>
      <w:r>
        <w:rPr>
          <w:sz w:val="20"/>
        </w:rPr>
        <w:t>As of December 31, 2001, the net goodwill balance associated with Enron Energy Services (EES) will approximate $600 million.  Of this amount, approximately $422 million relating to the EES minority interest acquisition is currently being reported in the Corp &amp; Other segment.  Since this amount is clearly attributable to Enron’s retail operations, it will be assigned to the Retail reporting unit where EES resides.</w:t>
      </w:r>
    </w:p>
    <w:p>
      <w:pPr>
        <w:pStyle w:val="Footer"/>
        <w:tabs>
          <w:tab w:val="clear" w:pos="4320"/>
          <w:tab w:val="clear" w:pos="8640"/>
          <w:tab w:val="left" w:pos="540" w:leader="none"/>
        </w:tabs>
        <w:rPr>
          <w:sz w:val="20"/>
        </w:rPr>
      </w:pPr>
      <w:r>
        <w:rPr>
          <w:sz w:val="20"/>
        </w:rPr>
      </w:r>
    </w:p>
    <w:p>
      <w:pPr>
        <w:pStyle w:val="Footer"/>
        <w:tabs>
          <w:tab w:val="clear" w:pos="4320"/>
          <w:tab w:val="clear" w:pos="8640"/>
          <w:tab w:val="left" w:pos="540" w:leader="none"/>
        </w:tabs>
        <w:rPr>
          <w:sz w:val="20"/>
        </w:rPr>
      </w:pPr>
      <w:r>
        <w:rPr>
          <w:sz w:val="20"/>
        </w:rPr>
        <w:t>As of December 31, 2001, the net goodwill balance associated with Enron Wind Corp (EWC) will approximate $175 million.  This amount will be assigned to the Wind reporting unit.</w:t>
      </w:r>
    </w:p>
    <w:p>
      <w:pPr>
        <w:pStyle w:val="Footer"/>
        <w:tabs>
          <w:tab w:val="clear" w:pos="4320"/>
          <w:tab w:val="clear" w:pos="8640"/>
          <w:tab w:val="left" w:pos="540" w:leader="none"/>
        </w:tabs>
        <w:rPr>
          <w:sz w:val="20"/>
        </w:rPr>
      </w:pPr>
      <w:r>
        <w:rPr>
          <w:sz w:val="20"/>
        </w:rPr>
      </w:r>
    </w:p>
    <w:p>
      <w:pPr>
        <w:pStyle w:val="Footer"/>
        <w:tabs>
          <w:tab w:val="clear" w:pos="4320"/>
          <w:tab w:val="clear" w:pos="8640"/>
          <w:tab w:val="left" w:pos="540" w:leader="none"/>
        </w:tabs>
        <w:rPr>
          <w:sz w:val="20"/>
        </w:rPr>
      </w:pPr>
      <w:r>
        <w:rPr>
          <w:sz w:val="20"/>
        </w:rPr>
        <w:t>As of December 31, 2001, the net goodwill balance assigned to the Europe Energy reporting unit will approximate $300 million.  This amount represents goodwill relating to the MG acquisition whose operations are included in the Europe Energy reporting unit.</w:t>
      </w:r>
    </w:p>
    <w:p>
      <w:pPr>
        <w:pStyle w:val="Footer"/>
        <w:tabs>
          <w:tab w:val="clear" w:pos="4320"/>
          <w:tab w:val="clear" w:pos="8640"/>
          <w:tab w:val="left" w:pos="540" w:leader="none"/>
        </w:tabs>
        <w:rPr>
          <w:sz w:val="20"/>
        </w:rPr>
      </w:pPr>
      <w:r>
        <w:rPr>
          <w:sz w:val="20"/>
        </w:rPr>
      </w:r>
    </w:p>
    <w:p>
      <w:pPr>
        <w:pStyle w:val="Footer"/>
        <w:tabs>
          <w:tab w:val="clear" w:pos="4320"/>
          <w:tab w:val="clear" w:pos="8640"/>
          <w:tab w:val="left" w:pos="540" w:leader="none"/>
        </w:tabs>
        <w:rPr>
          <w:sz w:val="20"/>
        </w:rPr>
      </w:pPr>
      <w:r>
        <w:rPr>
          <w:b/>
          <w:bCs/>
          <w:sz w:val="20"/>
          <w:u w:val="single"/>
        </w:rPr>
        <w:t>Goodwill Relating to Equity Method Investments</w:t>
      </w:r>
    </w:p>
    <w:p>
      <w:pPr>
        <w:pStyle w:val="Footer"/>
        <w:tabs>
          <w:tab w:val="clear" w:pos="4320"/>
          <w:tab w:val="clear" w:pos="8640"/>
          <w:tab w:val="left" w:pos="540" w:leader="none"/>
        </w:tabs>
        <w:rPr>
          <w:sz w:val="20"/>
        </w:rPr>
      </w:pPr>
      <w:r>
        <w:rPr>
          <w:sz w:val="20"/>
        </w:rPr>
      </w:r>
    </w:p>
    <w:p>
      <w:pPr>
        <w:pStyle w:val="Footer"/>
        <w:tabs>
          <w:tab w:val="clear" w:pos="4320"/>
          <w:tab w:val="clear" w:pos="8640"/>
          <w:tab w:val="left" w:pos="540" w:leader="none"/>
        </w:tabs>
        <w:rPr>
          <w:sz w:val="20"/>
        </w:rPr>
      </w:pPr>
      <w:r>
        <w:rPr>
          <w:sz w:val="20"/>
        </w:rPr>
        <w:t>As of December 31, 2001, Enron estimates that it will have approximately $700 million of equity method goodwill relating to multiple equity method investments.  As prescribed by FAS 142, this goodwill will be evaluated in connection with the underlying investment as required by APB 18.  At this time, Enron has no indications that the recoverability of these investments (inclusive of the goodwill) is in question.  Enron will continue to monitor these investments on a periodic basis.</w:t>
      </w:r>
    </w:p>
    <w:p>
      <w:pPr>
        <w:pStyle w:val="Footer"/>
        <w:tabs>
          <w:tab w:val="clear" w:pos="4320"/>
          <w:tab w:val="clear" w:pos="8640"/>
          <w:tab w:val="left" w:pos="540" w:leader="none"/>
        </w:tabs>
        <w:rPr>
          <w:sz w:val="20"/>
        </w:rPr>
      </w:pPr>
      <w:r>
        <w:rPr>
          <w:sz w:val="20"/>
        </w:rPr>
      </w:r>
    </w:p>
    <w:p>
      <w:pPr>
        <w:pStyle w:val="Footer"/>
        <w:tabs>
          <w:tab w:val="clear" w:pos="4320"/>
          <w:tab w:val="clear" w:pos="8640"/>
          <w:tab w:val="left" w:pos="540" w:leader="none"/>
        </w:tabs>
        <w:rPr>
          <w:sz w:val="20"/>
        </w:rPr>
      </w:pPr>
      <w:r>
        <w:rPr>
          <w:sz w:val="20"/>
        </w:rPr>
      </w:r>
    </w:p>
    <w:p>
      <w:pPr>
        <w:pStyle w:val="Normal"/>
        <w:rPr>
          <w:sz w:val="20"/>
        </w:rPr>
      </w:pPr>
      <w:r>
        <w:rPr>
          <w:sz w:val="20"/>
        </w:rPr>
      </w:r>
    </w:p>
    <w:p>
      <w:pPr>
        <w:pStyle w:val="Normal"/>
        <w:rPr/>
      </w:pPr>
      <w:r>
        <w:rPr/>
      </w:r>
    </w:p>
    <w:p>
      <w:pPr>
        <w:pStyle w:val="Normal"/>
        <w:rPr/>
      </w:pPr>
      <w:r>
        <w:rPr/>
      </w:r>
    </w:p>
    <w:p>
      <w:pPr>
        <w:pStyle w:val="Normal"/>
        <w:jc w:val="both"/>
        <w:rPr>
          <w:sz w:val="20"/>
        </w:rPr>
      </w:pPr>
      <w:r>
        <w:rPr>
          <w:sz w:val="20"/>
        </w:rPr>
      </w:r>
    </w:p>
    <w:p>
      <w:pPr>
        <w:pStyle w:val="Normal"/>
        <w:jc w:val="both"/>
        <w:rPr>
          <w:sz w:val="20"/>
        </w:rPr>
      </w:pPr>
      <w:r>
        <w:rPr>
          <w:sz w:val="20"/>
        </w:rPr>
      </w:r>
    </w:p>
    <w:p>
      <w:pPr>
        <w:pStyle w:val="BodyText3"/>
        <w:spacing w:before="120" w:after="0"/>
        <w:ind w:start="720" w:end="0"/>
        <w:rPr>
          <w:sz w:val="20"/>
        </w:rPr>
      </w:pPr>
      <w:r>
        <w:rPr>
          <w:sz w:val="20"/>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default"/>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12"/>
      </w:rPr>
    </w:pPr>
    <w:r>
      <w:rPr>
        <w:sz w:val="12"/>
      </w:rPr>
      <w:fldChar w:fldCharType="begin"/>
    </w:r>
    <w:r>
      <w:rPr>
        <w:sz w:val="12"/>
      </w:rPr>
      <w:instrText xml:space="preserve"> FILENAME \p </w:instrText>
    </w:r>
    <w:r>
      <w:rPr>
        <w:sz w:val="12"/>
      </w:rPr>
      <w:fldChar w:fldCharType="separate"/>
    </w:r>
    <w:r>
      <w:rPr>
        <w:sz w:val="12"/>
      </w:rPr>
      <w:t>/mnt/main-storage/datasets/enron-docs/doc/Goodwill_Memo.doc</w:t>
    </w:r>
    <w:r>
      <w:rPr>
        <w:sz w:val="12"/>
      </w:rPr>
      <w:fldChar w:fldCharType="end"/>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 xml:space="preserve">Page </w:t>
    </w:r>
    <w:r>
      <w:rPr>
        <w:sz w:val="20"/>
      </w:rPr>
      <w:fldChar w:fldCharType="begin"/>
    </w:r>
    <w:r>
      <w:rPr>
        <w:sz w:val="20"/>
      </w:rPr>
      <w:instrText xml:space="preserve"> PAGE </w:instrText>
    </w:r>
    <w:r>
      <w:rPr>
        <w:sz w:val="20"/>
      </w:rPr>
      <w:fldChar w:fldCharType="separate"/>
    </w:r>
    <w:r>
      <w:rPr>
        <w:sz w:val="20"/>
      </w:rPr>
      <w:t>6</w:t>
    </w:r>
    <w:r>
      <w:rPr>
        <w:sz w:val="20"/>
      </w:rPr>
      <w:fldChar w:fldCharType="end"/>
    </w:r>
  </w:p>
  <w:p>
    <w:pPr>
      <w:pStyle w:val="Header"/>
      <w:jc w:val="end"/>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4"/>
        <w:i w:val="false"/>
        <w:b w:val="false"/>
      </w:rPr>
    </w:lvl>
  </w:abstractNum>
  <w:abstractNum w:abstractNumId="3">
    <w:lvl w:ilvl="0">
      <w:start w:val="1"/>
      <w:numFmt w:val="lowerLetter"/>
      <w:lvlText w:val="%1."/>
      <w:lvlJc w:val="start"/>
      <w:pPr>
        <w:tabs>
          <w:tab w:val="num" w:pos="720"/>
        </w:tabs>
        <w:ind w:start="792" w:hanging="432"/>
      </w:pPr>
      <w:rPr>
        <w:i w:val="false"/>
        <w:b w:val="false"/>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spacing w:before="120" w:after="0"/>
      <w:jc w:val="center"/>
      <w:outlineLvl w:val="1"/>
    </w:pPr>
    <w:rPr>
      <w:sz w:val="20"/>
      <w:u w:val="single"/>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paragraph" w:styleId="Heading4">
    <w:name w:val="heading 4"/>
    <w:basedOn w:val="Normal"/>
    <w:next w:val="Normal"/>
    <w:qFormat/>
    <w:pPr>
      <w:keepNext w:val="true"/>
      <w:numPr>
        <w:ilvl w:val="3"/>
        <w:numId w:val="1"/>
      </w:numPr>
      <w:jc w:val="both"/>
      <w:outlineLvl w:val="3"/>
    </w:pPr>
    <w:rPr>
      <w:b/>
      <w:bCs/>
      <w:sz w:val="20"/>
      <w:u w:val="single"/>
    </w:rPr>
  </w:style>
  <w:style w:type="paragraph" w:styleId="Heading5">
    <w:name w:val="heading 5"/>
    <w:basedOn w:val="Normal"/>
    <w:next w:val="Normal"/>
    <w:qFormat/>
    <w:pPr>
      <w:keepNext w:val="true"/>
      <w:numPr>
        <w:ilvl w:val="4"/>
        <w:numId w:val="1"/>
      </w:numPr>
      <w:tabs>
        <w:tab w:val="left" w:pos="540" w:leader="none"/>
        <w:tab w:val="left" w:pos="2880" w:leader="none"/>
      </w:tabs>
      <w:ind w:hanging="2880" w:start="2880" w:end="0"/>
      <w:jc w:val="both"/>
      <w:outlineLvl w:val="4"/>
    </w:pPr>
    <w:rPr>
      <w:i/>
      <w:iCs/>
      <w:sz w:val="20"/>
    </w:rPr>
  </w:style>
  <w:style w:type="paragraph" w:styleId="Heading6">
    <w:name w:val="heading 6"/>
    <w:basedOn w:val="Normal"/>
    <w:next w:val="Normal"/>
    <w:qFormat/>
    <w:pPr>
      <w:keepNext w:val="true"/>
      <w:numPr>
        <w:ilvl w:val="5"/>
        <w:numId w:val="1"/>
      </w:numPr>
      <w:jc w:val="center"/>
      <w:outlineLvl w:val="5"/>
    </w:pPr>
    <w:rPr>
      <w:sz w:val="18"/>
      <w:u w:val="single"/>
    </w:rPr>
  </w:style>
  <w:style w:type="paragraph" w:styleId="Heading7">
    <w:name w:val="heading 7"/>
    <w:basedOn w:val="Normal"/>
    <w:next w:val="Normal"/>
    <w:qFormat/>
    <w:pPr>
      <w:keepNext w:val="true"/>
      <w:numPr>
        <w:ilvl w:val="6"/>
        <w:numId w:val="1"/>
      </w:numPr>
      <w:jc w:val="both"/>
      <w:outlineLvl w:val="6"/>
    </w:pPr>
    <w:rPr>
      <w:b/>
      <w:bCs/>
      <w:sz w:val="20"/>
    </w:rPr>
  </w:style>
  <w:style w:type="character" w:styleId="WW8Num3z0">
    <w:name w:val="WW8Num3z0"/>
    <w:qFormat/>
    <w:rPr/>
  </w:style>
  <w:style w:type="character" w:styleId="WW8Num4z0">
    <w:name w:val="WW8Num4z0"/>
    <w:qFormat/>
    <w:rPr/>
  </w:style>
  <w:style w:type="character" w:styleId="WW8Num6z0">
    <w:name w:val="WW8Num6z0"/>
    <w:qFormat/>
    <w:rPr>
      <w:rFonts w:ascii="Symbol" w:hAnsi="Symbol" w:cs="Symbol"/>
      <w:b w:val="false"/>
      <w:i w:val="false"/>
      <w:sz w:val="24"/>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b w:val="false"/>
      <w:i w:val="false"/>
    </w:rPr>
  </w:style>
  <w:style w:type="character" w:styleId="WW8Num8z0">
    <w:name w:val="WW8Num8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odyText3">
    <w:name w:val="Body Text 3"/>
    <w:basedOn w:val="Normal"/>
    <w:qFormat/>
    <w:pPr>
      <w:tabs>
        <w:tab w:val="clear" w:pos="540"/>
      </w:tabs>
      <w:overflowPunct w:val="true"/>
      <w:autoSpaceDE w:val="true"/>
      <w:jc w:val="both"/>
      <w:textAlignment w:val="auto"/>
    </w:pPr>
    <w:rPr/>
  </w:style>
  <w:style w:type="paragraph" w:styleId="BodyTextIndent">
    <w:name w:val="Body Text Indent"/>
    <w:basedOn w:val="Normal"/>
    <w:pPr>
      <w:spacing w:before="120" w:after="0"/>
      <w:ind w:hanging="0" w:start="720" w:end="0"/>
    </w:pPr>
    <w:rPr>
      <w:sz w:val="20"/>
    </w:rPr>
  </w:style>
  <w:style w:type="paragraph" w:styleId="BodyTextIndent2">
    <w:name w:val="Body Text Indent 2"/>
    <w:basedOn w:val="Normal"/>
    <w:qFormat/>
    <w:pPr>
      <w:ind w:hanging="0" w:start="54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828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2001-09-20T15:28:00Z</dcterms:created>
  <dc:creator>rsiurek</dc:creator>
  <dc:description/>
  <dc:language>en-CA</dc:language>
  <cp:lastModifiedBy>sfarmer2</cp:lastModifiedBy>
  <cp:lastPrinted>2001-09-21T16:16:00Z</cp:lastPrinted>
  <dcterms:modified xsi:type="dcterms:W3CDTF">2001-09-21T18:46:00Z</dcterms:modified>
  <cp:revision>41</cp:revision>
  <dc:subject/>
  <dc:title>Better, Faster, Simpler Memo </dc:title>
</cp:coreProperties>
</file>