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r>
    </w:p>
    <w:p>
      <w:pPr>
        <w:pStyle w:val="Normal"/>
        <w:jc w:val="center"/>
        <w:rPr>
          <w:b/>
          <w:bCs/>
        </w:rPr>
      </w:pPr>
      <w:r>
        <w:rPr>
          <w:b/>
          <w:bCs/>
        </w:rPr>
        <w:t>OUTLINE OF PRESENTATION</w:t>
      </w:r>
    </w:p>
    <w:p>
      <w:pPr>
        <w:pStyle w:val="Normal"/>
        <w:jc w:val="center"/>
        <w:rPr>
          <w:b/>
          <w:bCs/>
        </w:rPr>
      </w:pPr>
      <w:r>
        <w:rPr>
          <w:b/>
          <w:bCs/>
        </w:rPr>
      </w:r>
    </w:p>
    <w:p>
      <w:pPr>
        <w:pStyle w:val="Normal"/>
        <w:jc w:val="center"/>
        <w:rPr>
          <w:b/>
          <w:bCs/>
        </w:rPr>
      </w:pPr>
      <w:r>
        <w:rPr>
          <w:b/>
          <w:bCs/>
        </w:rPr>
        <w:t>BY MARVIN J. GOLDSTEIN, STROOCK &amp; STROOCK &amp; LAVAN LLP:</w:t>
      </w:r>
    </w:p>
    <w:p>
      <w:pPr>
        <w:pStyle w:val="Normal"/>
        <w:jc w:val="center"/>
        <w:rPr>
          <w:b/>
          <w:bCs/>
        </w:rPr>
      </w:pPr>
      <w:r>
        <w:rPr>
          <w:b/>
          <w:bCs/>
        </w:rPr>
      </w:r>
    </w:p>
    <w:p>
      <w:pPr>
        <w:pStyle w:val="Normal"/>
        <w:jc w:val="center"/>
        <w:rPr/>
      </w:pPr>
      <w:r>
        <w:rPr>
          <w:b/>
          <w:bCs/>
          <w:u w:val="single"/>
        </w:rPr>
        <w:t>COMMODITY &amp; DERIVATIVE TRADING AND THE BANKRUPTCY CODE</w:t>
      </w:r>
      <w:r>
        <w:rPr/>
        <w:t xml:space="preserve"> </w:t>
      </w:r>
      <w:r>
        <w:rPr>
          <w:rStyle w:val="FootnoteCharacters"/>
          <w:rStyle w:val="FootnoteReference"/>
        </w:rPr>
        <w:footnoteReference w:id="2"/>
      </w:r>
    </w:p>
    <w:p>
      <w:pPr>
        <w:pStyle w:val="Normal"/>
        <w:rPr/>
      </w:pPr>
      <w:r>
        <w:rPr/>
      </w:r>
    </w:p>
    <w:p>
      <w:pPr>
        <w:pStyle w:val="Normal"/>
        <w:jc w:val="center"/>
        <w:rPr/>
      </w:pPr>
      <w:r>
        <w:rPr/>
        <w:t>Revised as of April 22, 1999</w:t>
      </w:r>
    </w:p>
    <w:p>
      <w:pPr>
        <w:pStyle w:val="Normal"/>
        <w:jc w:val="center"/>
        <w:rPr/>
      </w:pPr>
      <w:r>
        <w:rPr/>
      </w:r>
    </w:p>
    <w:p>
      <w:pPr>
        <w:pStyle w:val="Normal"/>
        <w:jc w:val="center"/>
        <w:rPr/>
      </w:pPr>
      <w:r>
        <w:rPr/>
        <w:t xml:space="preserve">Originally Presented at "Power Marketing:  A Blueprint For Managing Risks in the Restructured </w:t>
      </w:r>
    </w:p>
    <w:p>
      <w:pPr>
        <w:pStyle w:val="Normal"/>
        <w:jc w:val="center"/>
        <w:rPr/>
      </w:pPr>
      <w:r>
        <w:rPr/>
        <w:t>Electricity Industry", a Conference held on May 3-4, 1999, in Baltimore, Maryland</w:t>
      </w:r>
    </w:p>
    <w:p>
      <w:pPr>
        <w:pStyle w:val="Normal"/>
        <w:jc w:val="center"/>
        <w:rPr/>
      </w:pPr>
      <w:r>
        <w:rPr/>
        <w:t xml:space="preserve">Sponsored by Public Utilities Reports  </w:t>
      </w:r>
    </w:p>
    <w:p>
      <w:pPr>
        <w:pStyle w:val="Normal"/>
        <w:jc w:val="center"/>
        <w:rPr/>
      </w:pPr>
      <w:r>
        <w:rPr/>
      </w:r>
    </w:p>
    <w:p>
      <w:pPr>
        <w:pStyle w:val="Normal"/>
        <w:rPr/>
      </w:pPr>
      <w:r>
        <w:rPr/>
        <w:t>Contact Information:</w:t>
      </w:r>
    </w:p>
    <w:p>
      <w:pPr>
        <w:pStyle w:val="Normal"/>
        <w:rPr>
          <w:b/>
          <w:bCs/>
        </w:rPr>
      </w:pPr>
      <w:r>
        <w:rPr>
          <w:b/>
          <w:bCs/>
        </w:rPr>
        <w:t>Marvin J. Goldstein</w:t>
      </w:r>
    </w:p>
    <w:p>
      <w:pPr>
        <w:pStyle w:val="Normal"/>
        <w:rPr>
          <w:b/>
          <w:bCs/>
        </w:rPr>
      </w:pPr>
      <w:r>
        <w:rPr>
          <w:b/>
          <w:bCs/>
        </w:rPr>
        <w:t>Stroock &amp; Stroock &amp; Lavan LLP</w:t>
      </w:r>
    </w:p>
    <w:p>
      <w:pPr>
        <w:pStyle w:val="Normal"/>
        <w:rPr/>
      </w:pPr>
      <w:r>
        <w:rPr/>
        <w:t>New York, N.Y.  10038</w:t>
      </w:r>
    </w:p>
    <w:p>
      <w:pPr>
        <w:pStyle w:val="Normal"/>
        <w:rPr/>
      </w:pPr>
      <w:r>
        <w:rPr/>
        <w:t>Telephone:</w:t>
        <w:tab/>
        <w:t>212-806-5629</w:t>
      </w:r>
    </w:p>
    <w:p>
      <w:pPr>
        <w:pStyle w:val="Normal"/>
        <w:rPr/>
      </w:pPr>
      <w:r>
        <w:rPr/>
        <w:t>Fax:</w:t>
        <w:tab/>
        <w:tab/>
        <w:t>212-806-6006</w:t>
      </w:r>
    </w:p>
    <w:p>
      <w:pPr>
        <w:pStyle w:val="Normal"/>
        <w:rPr/>
      </w:pPr>
      <w:r>
        <w:rPr/>
        <w:t>E-mail:</w:t>
        <w:tab/>
        <w:t>mgoldstein@stroock.com</w:t>
      </w:r>
    </w:p>
    <w:p>
      <w:pPr>
        <w:pStyle w:val="Normal"/>
        <w:rPr/>
      </w:pPr>
      <w:r>
        <w:rPr/>
      </w:r>
    </w:p>
    <w:p>
      <w:pPr>
        <w:pStyle w:val="Normal"/>
        <w:rPr/>
      </w:pPr>
      <w:r>
        <w:rPr/>
      </w:r>
    </w:p>
    <w:p>
      <w:pPr>
        <w:pStyle w:val="Normal"/>
        <w:ind w:hanging="720" w:start="720" w:end="0"/>
        <w:rPr/>
      </w:pPr>
      <w:r>
        <w:rPr>
          <w:b/>
          <w:bCs/>
          <w:spacing w:val="-3"/>
        </w:rPr>
        <w:fldChar w:fldCharType="begin"/>
      </w:r>
      <w:r>
        <w:rPr>
          <w:spacing w:val="-3"/>
          <w:b/>
          <w:bCs/>
        </w:rPr>
        <w:instrText xml:space="preserve"> SEQ level0 \* ROMAN </w:instrText>
      </w:r>
      <w:r>
        <w:rPr>
          <w:spacing w:val="-3"/>
          <w:b/>
          <w:bCs/>
        </w:rPr>
        <w:fldChar w:fldCharType="separate"/>
      </w:r>
      <w:r>
        <w:rPr>
          <w:spacing w:val="-3"/>
          <w:b/>
          <w:bCs/>
        </w:rPr>
        <w:t>I</w:t>
      </w:r>
      <w:r>
        <w:rPr>
          <w:spacing w:val="-3"/>
          <w:b/>
          <w:bCs/>
        </w:rPr>
        <w:fldChar w:fldCharType="end"/>
      </w:r>
      <w:r>
        <w:rPr>
          <w:b/>
          <w:bCs/>
        </w:rPr>
        <w:t>.</w:t>
        <w:tab/>
        <w:t>INTRODUCTION</w:t>
      </w:r>
    </w:p>
    <w:p>
      <w:pPr>
        <w:pStyle w:val="Normal"/>
        <w:rPr/>
      </w:pPr>
      <w:r>
        <w:rPr/>
      </w:r>
    </w:p>
    <w:p>
      <w:pPr>
        <w:pStyle w:val="Normal"/>
        <w:ind w:firstLine="720" w:end="0"/>
        <w:rPr/>
      </w:pPr>
      <w:r>
        <w:rPr/>
        <w:t>The United States Bankruptcy Code (the "Code") contains a series of special provisions that are applicable to both commodity forward contracts and commodity swaps.  In the event one of the parties to a forward contract or a swap agreement becomes the subject of a Code proceeding, these provisions permit the other party to liquidate the contract or agreement and make certain setoffs, notwithstanding the restrictions that the Code generally imposes on actions against a debtor and its property.  The basic purpose of the Code's special forward contract and swap agreement provisions is to protect the financial markets against the systemic risks that otherwise might be posed by the insolvency or bankruptcy of one or more of the participants in those markets.</w:t>
      </w:r>
    </w:p>
    <w:p>
      <w:pPr>
        <w:pStyle w:val="Normal"/>
        <w:ind w:firstLine="720" w:end="0"/>
        <w:rPr/>
      </w:pPr>
      <w:r>
        <w:rPr/>
      </w:r>
    </w:p>
    <w:p>
      <w:pPr>
        <w:pStyle w:val="Normal"/>
        <w:ind w:firstLine="720" w:end="0"/>
        <w:rPr/>
      </w:pPr>
      <w:r>
        <w:rPr/>
        <w:t>Subject to certain significant exceptions, that generally are beyond the scope of this outline, any individual, partnership or corporation that is organized under, resides in, or has property in the United States may be a debtor under the Code.  Depository institutions are one of the significant exceptions to this rule.  Depository institution insolvencies are subject to a separate statutory scheme, which is discussed below.  Similarly, insurance company insolvencies are dealt with under state law, rather than the Code.  In addition, while the U.S. operations and property of non-U.S. persons may, in certain circumstances, be the subject of Code proceedings, non-U.S. persons also may be subject to insolvency proceedings under the laws of their home jurisdictions, which laws may raise issues similar to, and/or different from, those discussed herein.</w:t>
      </w:r>
    </w:p>
    <w:p>
      <w:pPr>
        <w:pStyle w:val="Normal"/>
        <w:ind w:firstLine="720" w:end="0"/>
        <w:rPr/>
      </w:pPr>
      <w:r>
        <w:rPr/>
      </w:r>
    </w:p>
    <w:p>
      <w:pPr>
        <w:pStyle w:val="Normal"/>
        <w:ind w:firstLine="720" w:end="0"/>
        <w:rPr/>
      </w:pPr>
      <w:r>
        <w:rPr/>
        <w:t>This outline will review the forward contract and swap agreement provisions of the Code, as well as some of the implications of these provisions for various types of transactions and counterparties.</w:t>
      </w:r>
    </w:p>
    <w:p>
      <w:pPr>
        <w:pStyle w:val="Normal"/>
        <w:rPr/>
      </w:pPr>
      <w:r>
        <w:rPr/>
      </w:r>
    </w:p>
    <w:p>
      <w:pPr>
        <w:pStyle w:val="Normal"/>
        <w:rPr/>
      </w:pPr>
      <w:r>
        <w:rPr/>
      </w:r>
    </w:p>
    <w:p>
      <w:pPr>
        <w:pStyle w:val="Normal"/>
        <w:rPr/>
      </w:pPr>
      <w:r>
        <w:rPr>
          <w:b/>
          <w:bCs/>
          <w:spacing w:val="-3"/>
        </w:rPr>
        <w:fldChar w:fldCharType="begin"/>
      </w:r>
      <w:r>
        <w:rPr>
          <w:spacing w:val="-3"/>
          <w:b/>
          <w:bCs/>
        </w:rPr>
        <w:instrText xml:space="preserve"> SEQ level0 \* ROMAN </w:instrText>
      </w:r>
      <w:r>
        <w:rPr>
          <w:spacing w:val="-3"/>
          <w:b/>
          <w:bCs/>
        </w:rPr>
        <w:fldChar w:fldCharType="separate"/>
      </w:r>
      <w:r>
        <w:rPr>
          <w:spacing w:val="-3"/>
          <w:b/>
          <w:bCs/>
        </w:rPr>
        <w:t>II</w:t>
      </w:r>
      <w:r>
        <w:rPr>
          <w:spacing w:val="-3"/>
          <w:b/>
          <w:bCs/>
        </w:rPr>
        <w:fldChar w:fldCharType="end"/>
      </w:r>
      <w:r>
        <w:rPr>
          <w:b/>
          <w:bCs/>
        </w:rPr>
        <w:t>.</w:t>
        <w:tab/>
        <w:t>DEFINITIONS</w:t>
      </w:r>
    </w:p>
    <w:p>
      <w:pPr>
        <w:pStyle w:val="Normal"/>
        <w:rPr/>
      </w:pPr>
      <w:r>
        <w:rPr/>
      </w:r>
    </w:p>
    <w:p>
      <w:pPr>
        <w:pStyle w:val="Normal"/>
        <w:ind w:firstLine="720" w:end="0"/>
        <w:rPr/>
      </w:pPr>
      <w:r>
        <w:rPr/>
        <w:fldChar w:fldCharType="begin"/>
      </w:r>
      <w:r>
        <w:rPr/>
        <w:instrText xml:space="preserve"> SEQ LEVEL6 \* ALPHABETIC </w:instrText>
      </w:r>
      <w:r>
        <w:rPr/>
        <w:fldChar w:fldCharType="separate"/>
      </w:r>
      <w:r>
        <w:rPr/>
        <w:t>A</w:t>
      </w:r>
      <w:r>
        <w:rPr/>
        <w:fldChar w:fldCharType="end"/>
      </w:r>
      <w:r>
        <w:rPr/>
        <w:t>.</w:t>
        <w:tab/>
        <w:t>Review "forward contract" and "forward contract merchant" definitions.</w:t>
      </w:r>
    </w:p>
    <w:p>
      <w:pPr>
        <w:pStyle w:val="Normal"/>
        <w:rPr/>
      </w:pPr>
      <w:r>
        <w:rPr/>
      </w:r>
    </w:p>
    <w:p>
      <w:pPr>
        <w:pStyle w:val="Normal"/>
        <w:ind w:firstLine="720" w:end="0"/>
        <w:rPr/>
      </w:pPr>
      <w:r>
        <w:rPr/>
        <w:tab/>
      </w:r>
      <w:r>
        <w:rPr/>
        <w:fldChar w:fldCharType="begin"/>
      </w:r>
      <w:r>
        <w:rPr/>
        <w:instrText xml:space="preserve"> SEQ level5 \* ARABIC </w:instrText>
      </w:r>
      <w:r>
        <w:rPr/>
        <w:fldChar w:fldCharType="separate"/>
      </w:r>
      <w:r>
        <w:rPr/>
        <w:t>1</w:t>
      </w:r>
      <w:r>
        <w:rPr/>
        <w:fldChar w:fldCharType="end"/>
      </w:r>
      <w:r>
        <w:rPr/>
        <w:t>.</w:t>
        <w:tab/>
        <w:t>Section 101(25) of the Code provides as follows:</w:t>
      </w:r>
    </w:p>
    <w:p>
      <w:pPr>
        <w:pStyle w:val="Normal"/>
        <w:rPr/>
      </w:pPr>
      <w:r>
        <w:rPr/>
      </w:r>
    </w:p>
    <w:p>
      <w:pPr>
        <w:pStyle w:val="Normal"/>
        <w:ind w:start="2880" w:end="0"/>
        <w:rPr/>
      </w:pPr>
      <w:r>
        <w:rPr/>
        <w:t>"'forward contract' means a contract (other than a commodity contract) for the purchase, sale, or transfer of a commodity, as defined in section 761(8) of this title, or any similar good, article, service, right, or interest which is presently or in the future becomes the subject of dealing in the forward contract trade, or product or byproduct thereof, with a maturity date more than two days after the date the contract is entered into, including, but not limited to, a repurchase transaction, reverse repurchase transaction, consignment, lease, swap, hedge transaction, deposit, loan, option, allocated transaction, unallocated transaction, or any combination thereof or option thereon."</w:t>
      </w:r>
    </w:p>
    <w:p>
      <w:pPr>
        <w:pStyle w:val="Normal"/>
        <w:rPr/>
      </w:pPr>
      <w:r>
        <w:rPr/>
      </w:r>
    </w:p>
    <w:p>
      <w:pPr>
        <w:pStyle w:val="Normal"/>
        <w:ind w:firstLine="1440" w:end="0"/>
        <w:rPr/>
      </w:pPr>
      <w:r>
        <w:rPr/>
        <w:fldChar w:fldCharType="begin"/>
      </w:r>
      <w:r>
        <w:rPr/>
        <w:instrText xml:space="preserve"> SEQ level5 \* ARABIC </w:instrText>
      </w:r>
      <w:r>
        <w:rPr/>
        <w:fldChar w:fldCharType="separate"/>
      </w:r>
      <w:r>
        <w:rPr/>
        <w:t>2</w:t>
      </w:r>
      <w:r>
        <w:rPr/>
        <w:fldChar w:fldCharType="end"/>
      </w:r>
      <w:r>
        <w:rPr/>
        <w:t>.</w:t>
        <w:tab/>
        <w:t>Note that the "forward contract" definition:</w:t>
      </w:r>
    </w:p>
    <w:p>
      <w:pPr>
        <w:pStyle w:val="Normal"/>
        <w:rPr/>
      </w:pPr>
      <w:r>
        <w:rPr/>
      </w:r>
    </w:p>
    <w:p>
      <w:pPr>
        <w:pStyle w:val="Normal"/>
        <w:ind w:hanging="720" w:start="2880" w:end="0"/>
        <w:rPr/>
      </w:pPr>
      <w:r>
        <w:rPr/>
        <w:fldChar w:fldCharType="begin"/>
      </w:r>
      <w:r>
        <w:rPr/>
        <w:instrText xml:space="preserve"> SEQ level3 \* alphabetic </w:instrText>
      </w:r>
      <w:r>
        <w:rPr/>
        <w:fldChar w:fldCharType="separate"/>
      </w:r>
      <w:r>
        <w:rPr/>
        <w:t>a</w:t>
      </w:r>
      <w:r>
        <w:rPr/>
        <w:fldChar w:fldCharType="end"/>
      </w:r>
      <w:r>
        <w:rPr/>
        <w:t>.</w:t>
        <w:tab/>
        <w:t>Only covers a contract with a maturity date more than two days after the contract is entered into.  It does not cover spot contracts;</w:t>
      </w:r>
    </w:p>
    <w:p>
      <w:pPr>
        <w:pStyle w:val="Normal"/>
        <w:ind w:hanging="720" w:start="2880" w:end="0"/>
        <w:rPr/>
      </w:pPr>
      <w:r>
        <w:rPr/>
      </w:r>
    </w:p>
    <w:p>
      <w:pPr>
        <w:pStyle w:val="Normal"/>
        <w:ind w:hanging="720" w:start="2880" w:end="0"/>
        <w:rPr/>
      </w:pPr>
      <w:r>
        <w:rPr>
          <w:spacing w:val="-3"/>
        </w:rPr>
        <w:fldChar w:fldCharType="begin"/>
      </w:r>
      <w:r>
        <w:rPr>
          <w:spacing w:val="-3"/>
        </w:rPr>
        <w:instrText xml:space="preserve"> SEQ level3 \* alphabetic </w:instrText>
      </w:r>
      <w:r>
        <w:rPr>
          <w:spacing w:val="-3"/>
        </w:rPr>
        <w:fldChar w:fldCharType="separate"/>
      </w:r>
      <w:r>
        <w:rPr>
          <w:spacing w:val="-3"/>
        </w:rPr>
        <w:t>b</w:t>
      </w:r>
      <w:r>
        <w:rPr>
          <w:spacing w:val="-3"/>
        </w:rPr>
        <w:fldChar w:fldCharType="end"/>
      </w:r>
      <w:r>
        <w:rPr>
          <w:spacing w:val="-3"/>
        </w:rPr>
        <w:t>.</w:t>
      </w:r>
      <w:r>
        <w:rPr/>
        <w:tab/>
        <w:t>Applies to all commodities, including electricity; and</w:t>
      </w:r>
    </w:p>
    <w:p>
      <w:pPr>
        <w:pStyle w:val="Normal"/>
        <w:ind w:hanging="720" w:start="2880" w:end="0"/>
        <w:rPr/>
      </w:pPr>
      <w:r>
        <w:rPr/>
      </w:r>
    </w:p>
    <w:p>
      <w:pPr>
        <w:pStyle w:val="Normal"/>
        <w:ind w:hanging="720" w:start="2880" w:end="0"/>
        <w:rPr/>
      </w:pPr>
      <w:r>
        <w:rPr>
          <w:spacing w:val="-3"/>
        </w:rPr>
        <w:fldChar w:fldCharType="begin"/>
      </w:r>
      <w:r>
        <w:rPr>
          <w:spacing w:val="-3"/>
        </w:rPr>
        <w:instrText xml:space="preserve"> SEQ level3 \* alphabetic </w:instrText>
      </w:r>
      <w:r>
        <w:rPr>
          <w:spacing w:val="-3"/>
        </w:rPr>
        <w:fldChar w:fldCharType="separate"/>
      </w:r>
      <w:r>
        <w:rPr>
          <w:spacing w:val="-3"/>
        </w:rPr>
        <w:t>c</w:t>
      </w:r>
      <w:r>
        <w:rPr>
          <w:spacing w:val="-3"/>
        </w:rPr>
        <w:fldChar w:fldCharType="end"/>
      </w:r>
      <w:r>
        <w:rPr>
          <w:spacing w:val="-3"/>
        </w:rPr>
        <w:t>.</w:t>
      </w:r>
      <w:r>
        <w:rPr/>
        <w:tab/>
        <w:t>Applies to various types of transactions, including traditional forward purchases and sales, as well as options and swaps.</w:t>
      </w:r>
    </w:p>
    <w:p>
      <w:pPr>
        <w:pStyle w:val="Normal"/>
        <w:ind w:hanging="720" w:start="2880" w:end="0"/>
        <w:rPr/>
      </w:pPr>
      <w:r>
        <w:rPr/>
      </w:r>
    </w:p>
    <w:p>
      <w:pPr>
        <w:pStyle w:val="Normal"/>
        <w:ind w:firstLine="1440" w:end="0"/>
        <w:rPr/>
      </w:pPr>
      <w:r>
        <w:rPr/>
        <w:fldChar w:fldCharType="begin"/>
      </w:r>
      <w:r>
        <w:rPr/>
        <w:instrText xml:space="preserve"> SEQ level5 \* ARABIC </w:instrText>
      </w:r>
      <w:r>
        <w:rPr/>
        <w:fldChar w:fldCharType="separate"/>
      </w:r>
      <w:r>
        <w:rPr/>
        <w:t>3</w:t>
      </w:r>
      <w:r>
        <w:rPr/>
        <w:fldChar w:fldCharType="end"/>
      </w:r>
      <w:r>
        <w:rPr/>
        <w:t>.</w:t>
        <w:tab/>
        <w:t>Section 101(26) of the Code provides as follows:</w:t>
      </w:r>
    </w:p>
    <w:p>
      <w:pPr>
        <w:pStyle w:val="Normal"/>
        <w:rPr/>
      </w:pPr>
      <w:r>
        <w:rPr/>
      </w:r>
    </w:p>
    <w:p>
      <w:pPr>
        <w:pStyle w:val="Normal"/>
        <w:ind w:hanging="720" w:start="2880" w:end="0"/>
        <w:rPr/>
      </w:pPr>
      <w:r>
        <w:rPr/>
        <w:tab/>
        <w:t>"'forward contract merchant' means a person whose business consists in whole or in part of entering into forward contracts as or with merchants in a commodity, as defined in section 761(8) of this title, or any similar good, article, service, right, or interest which is presently or in the future becomes the subject of dealing in the forward contract trade."</w:t>
      </w:r>
    </w:p>
    <w:p>
      <w:pPr>
        <w:pStyle w:val="Normal"/>
        <w:rPr/>
      </w:pPr>
      <w:r>
        <w:rPr/>
      </w:r>
    </w:p>
    <w:p>
      <w:pPr>
        <w:pStyle w:val="Normal"/>
        <w:ind w:hanging="720" w:start="2160" w:end="0"/>
        <w:rPr/>
      </w:pPr>
      <w:r>
        <w:rPr/>
        <w:fldChar w:fldCharType="begin"/>
      </w:r>
      <w:r>
        <w:rPr/>
        <w:instrText xml:space="preserve"> SEQ level5 \* ARABIC </w:instrText>
      </w:r>
      <w:r>
        <w:rPr/>
        <w:fldChar w:fldCharType="separate"/>
      </w:r>
      <w:r>
        <w:rPr/>
        <w:t>4</w:t>
      </w:r>
      <w:r>
        <w:rPr/>
        <w:fldChar w:fldCharType="end"/>
      </w:r>
      <w:r>
        <w:rPr/>
        <w:t>.</w:t>
        <w:tab/>
        <w:t>A dealer in commodities should qualify as a forward contract merchant with respect to its commodity trading activities.  In addition, the dealer's counterparts should also be forward contract merchants, since they enter into contracts "with" a merchant.</w:t>
      </w:r>
    </w:p>
    <w:p>
      <w:pPr>
        <w:pStyle w:val="Normal"/>
        <w:jc w:val="both"/>
        <w:rPr/>
      </w:pPr>
      <w:r>
        <w:rPr/>
      </w:r>
    </w:p>
    <w:p>
      <w:pPr>
        <w:pStyle w:val="Normal"/>
        <w:ind w:firstLine="720" w:end="0"/>
        <w:rPr/>
      </w:pPr>
      <w:r>
        <w:rPr/>
        <w:fldChar w:fldCharType="begin"/>
      </w:r>
      <w:r>
        <w:rPr/>
        <w:instrText xml:space="preserve"> SEQ LEVEL6 \* ALPHABETIC </w:instrText>
      </w:r>
      <w:r>
        <w:rPr/>
        <w:fldChar w:fldCharType="separate"/>
      </w:r>
      <w:r>
        <w:rPr/>
        <w:t>B</w:t>
      </w:r>
      <w:r>
        <w:rPr/>
        <w:fldChar w:fldCharType="end"/>
      </w:r>
      <w:r>
        <w:rPr/>
        <w:t>.</w:t>
        <w:tab/>
        <w:t>Review the "swap agreement" and "swap participant" definitions and their applicability to commodity swaps and the parties to such agreements.</w:t>
      </w:r>
    </w:p>
    <w:p>
      <w:pPr>
        <w:pStyle w:val="Normal"/>
        <w:rPr/>
      </w:pPr>
      <w:r>
        <w:rPr/>
      </w:r>
    </w:p>
    <w:p>
      <w:pPr>
        <w:pStyle w:val="Normal"/>
        <w:ind w:hanging="720" w:start="2160" w:end="0"/>
        <w:rPr/>
      </w:pPr>
      <w:r>
        <w:rPr/>
        <w:fldChar w:fldCharType="begin"/>
      </w:r>
      <w:r>
        <w:rPr/>
        <w:instrText xml:space="preserve"> SEQ level5 \* ARABIC </w:instrText>
      </w:r>
      <w:r>
        <w:rPr/>
        <w:fldChar w:fldCharType="separate"/>
      </w:r>
      <w:r>
        <w:rPr/>
        <w:t>1</w:t>
      </w:r>
      <w:r>
        <w:rPr/>
        <w:fldChar w:fldCharType="end"/>
      </w:r>
      <w:r>
        <w:rPr/>
        <w:t>.</w:t>
        <w:tab/>
        <w:t>Section 101(53B) of the Code provides as follows:</w:t>
      </w:r>
    </w:p>
    <w:p>
      <w:pPr>
        <w:pStyle w:val="Normal"/>
        <w:rPr/>
      </w:pPr>
      <w:r>
        <w:rPr/>
      </w:r>
    </w:p>
    <w:p>
      <w:pPr>
        <w:pStyle w:val="Normal"/>
        <w:ind w:hanging="576" w:start="3456" w:end="0"/>
        <w:rPr/>
      </w:pPr>
      <w:r>
        <w:rPr/>
        <w:t>"'swap agreement' means-</w:t>
      </w:r>
    </w:p>
    <w:p>
      <w:pPr>
        <w:pStyle w:val="Normal"/>
        <w:rPr/>
      </w:pPr>
      <w:r>
        <w:rPr/>
      </w:r>
    </w:p>
    <w:p>
      <w:pPr>
        <w:pStyle w:val="Normal"/>
        <w:ind w:hanging="720" w:start="3600" w:end="0"/>
        <w:rPr/>
      </w:pPr>
      <w:r>
        <w:rPr/>
        <w:t>(</w:t>
      </w:r>
      <w:r>
        <w:rPr/>
        <w:fldChar w:fldCharType="begin"/>
      </w:r>
      <w:r>
        <w:rPr/>
        <w:instrText xml:space="preserve"> SEQ LEVEL6 \* ALPHABETIC </w:instrText>
      </w:r>
      <w:r>
        <w:rPr/>
        <w:fldChar w:fldCharType="separate"/>
      </w:r>
      <w:r>
        <w:rPr/>
        <w:t>A</w:t>
      </w:r>
      <w:r>
        <w:rPr/>
        <w:fldChar w:fldCharType="end"/>
      </w:r>
      <w:r>
        <w:rPr/>
        <w:t>)</w:t>
        <w:tab/>
        <w:t>an agreement (including terms and conditions incorporated by reference therein) which is a rate swap agreement, basis swap, forward rate agreement, commodity swap, interest rate option, forward foreign exchange agreement, spot foreign exchange agreement, rate cap agreement, rate floor agreement, rate collar agreement, currency swap agreement, cross-currency rate swap agreement, currency option, any other similar agreement (including any option to enter into any of the foregoing);</w:t>
      </w:r>
    </w:p>
    <w:p>
      <w:pPr>
        <w:pStyle w:val="Normal"/>
        <w:spacing w:lineRule="atLeast" w:line="240"/>
        <w:rPr/>
      </w:pPr>
      <w:r>
        <w:rPr/>
      </w:r>
    </w:p>
    <w:p>
      <w:pPr>
        <w:pStyle w:val="Normal"/>
        <w:ind w:hanging="720" w:start="3600" w:end="0"/>
        <w:rPr/>
      </w:pPr>
      <w:r>
        <w:rPr/>
        <w:t>(</w:t>
      </w:r>
      <w:r>
        <w:rPr/>
        <w:fldChar w:fldCharType="begin"/>
      </w:r>
      <w:r>
        <w:rPr/>
        <w:instrText xml:space="preserve"> SEQ LEVEL6 \* ALPHABETIC </w:instrText>
      </w:r>
      <w:r>
        <w:rPr/>
        <w:fldChar w:fldCharType="separate"/>
      </w:r>
      <w:r>
        <w:rPr/>
        <w:t>B</w:t>
      </w:r>
      <w:r>
        <w:rPr/>
        <w:fldChar w:fldCharType="end"/>
      </w:r>
      <w:r>
        <w:rPr/>
        <w:t>)</w:t>
        <w:tab/>
        <w:t>any combination of the foregoing; or</w:t>
      </w:r>
    </w:p>
    <w:p>
      <w:pPr>
        <w:pStyle w:val="Normal"/>
        <w:spacing w:lineRule="atLeast" w:line="240"/>
        <w:rPr/>
      </w:pPr>
      <w:r>
        <w:rPr/>
      </w:r>
    </w:p>
    <w:p>
      <w:pPr>
        <w:pStyle w:val="Normal"/>
        <w:ind w:hanging="720" w:start="3600" w:end="0"/>
        <w:rPr/>
      </w:pPr>
      <w:r>
        <w:rPr/>
        <w:t>(</w:t>
      </w:r>
      <w:r>
        <w:rPr/>
        <w:fldChar w:fldCharType="begin"/>
      </w:r>
      <w:r>
        <w:rPr/>
        <w:instrText xml:space="preserve"> SEQ LEVEL6 \* ALPHABETIC </w:instrText>
      </w:r>
      <w:r>
        <w:rPr/>
        <w:fldChar w:fldCharType="separate"/>
      </w:r>
      <w:r>
        <w:rPr/>
        <w:t>C</w:t>
      </w:r>
      <w:r>
        <w:rPr/>
        <w:fldChar w:fldCharType="end"/>
      </w:r>
      <w:r>
        <w:rPr/>
        <w:t>)</w:t>
        <w:tab/>
        <w:t>a master agreement for any of the foregoing together with all supplements."</w:t>
      </w:r>
    </w:p>
    <w:p>
      <w:pPr>
        <w:pStyle w:val="Normal"/>
        <w:spacing w:lineRule="atLeast" w:line="240"/>
        <w:rPr/>
      </w:pPr>
      <w:r>
        <w:rPr/>
      </w:r>
    </w:p>
    <w:p>
      <w:pPr>
        <w:pStyle w:val="Normal"/>
        <w:ind w:hanging="720" w:start="2160" w:end="0"/>
        <w:rPr/>
      </w:pPr>
      <w:r>
        <w:rPr/>
        <w:fldChar w:fldCharType="begin"/>
      </w:r>
      <w:r>
        <w:rPr/>
        <w:instrText xml:space="preserve"> SEQ level5 \* ARABIC </w:instrText>
      </w:r>
      <w:r>
        <w:rPr/>
        <w:fldChar w:fldCharType="separate"/>
      </w:r>
      <w:r>
        <w:rPr/>
        <w:t>2</w:t>
      </w:r>
      <w:r>
        <w:rPr/>
        <w:fldChar w:fldCharType="end"/>
      </w:r>
      <w:r>
        <w:rPr/>
        <w:t>.</w:t>
        <w:tab/>
        <w:t>Note that the "swap agreement" definition covers a broad array of transactions, including electricity swaps as well as forward foreign exchange agreements, currency options and spot foreign exchange agreements.</w:t>
      </w:r>
    </w:p>
    <w:p>
      <w:pPr>
        <w:pStyle w:val="Normal"/>
        <w:spacing w:lineRule="atLeast" w:line="240"/>
        <w:rPr/>
      </w:pPr>
      <w:r>
        <w:rPr/>
      </w:r>
    </w:p>
    <w:p>
      <w:pPr>
        <w:pStyle w:val="Normal"/>
        <w:ind w:hanging="720" w:start="3600" w:end="0"/>
        <w:rPr/>
      </w:pPr>
      <w:r>
        <w:rPr>
          <w:spacing w:val="-3"/>
        </w:rPr>
        <w:t>a.</w:t>
      </w:r>
      <w:r>
        <w:rPr/>
        <w:tab/>
        <w:t>There is a great deal of overlap between the forward contract and swap agreement provisions of the Code because the forward contract provisions cover swaps involving commodities, such as electricity.</w:t>
      </w:r>
    </w:p>
    <w:p>
      <w:pPr>
        <w:pStyle w:val="Normal"/>
        <w:spacing w:lineRule="atLeast" w:line="240"/>
        <w:rPr/>
      </w:pPr>
      <w:r>
        <w:rPr/>
      </w:r>
    </w:p>
    <w:p>
      <w:pPr>
        <w:pStyle w:val="Normal"/>
        <w:ind w:hanging="720" w:start="2160" w:end="0"/>
        <w:rPr/>
      </w:pPr>
      <w:r>
        <w:rPr/>
        <w:fldChar w:fldCharType="begin"/>
      </w:r>
      <w:r>
        <w:rPr/>
        <w:instrText xml:space="preserve"> SEQ level5 \* ARABIC </w:instrText>
      </w:r>
      <w:r>
        <w:rPr/>
        <w:fldChar w:fldCharType="separate"/>
      </w:r>
      <w:r>
        <w:rPr/>
        <w:t>3</w:t>
      </w:r>
      <w:r>
        <w:rPr/>
        <w:fldChar w:fldCharType="end"/>
      </w:r>
      <w:r>
        <w:rPr/>
        <w:t>.</w:t>
        <w:tab/>
        <w:t>Section 101(53C) of the Code provides as follows:</w:t>
      </w:r>
    </w:p>
    <w:p>
      <w:pPr>
        <w:pStyle w:val="Normal"/>
        <w:spacing w:lineRule="atLeast" w:line="240"/>
        <w:rPr/>
      </w:pPr>
      <w:r>
        <w:rPr/>
      </w:r>
    </w:p>
    <w:p>
      <w:pPr>
        <w:pStyle w:val="Normal"/>
        <w:ind w:hanging="720" w:start="3600" w:end="0"/>
        <w:rPr/>
      </w:pPr>
      <w:r>
        <w:rPr/>
        <w:tab/>
        <w:t>"'swap participant' means an entity that, at any time before the filing of the petition, has an outstanding swap agreement with the debtor."</w:t>
      </w:r>
    </w:p>
    <w:p>
      <w:pPr>
        <w:pStyle w:val="Normal"/>
        <w:spacing w:lineRule="atLeast" w:line="240"/>
        <w:rPr/>
      </w:pPr>
      <w:r>
        <w:rPr/>
      </w:r>
    </w:p>
    <w:p>
      <w:pPr>
        <w:pStyle w:val="Normal"/>
        <w:ind w:hanging="720" w:start="2160" w:end="0"/>
        <w:rPr/>
      </w:pPr>
      <w:r>
        <w:rPr/>
        <w:fldChar w:fldCharType="begin"/>
      </w:r>
      <w:r>
        <w:rPr/>
        <w:instrText xml:space="preserve"> SEQ level5 \* ARABIC </w:instrText>
      </w:r>
      <w:r>
        <w:rPr/>
        <w:fldChar w:fldCharType="separate"/>
      </w:r>
      <w:r>
        <w:rPr/>
        <w:t>4</w:t>
      </w:r>
      <w:r>
        <w:rPr/>
        <w:fldChar w:fldCharType="end"/>
      </w:r>
      <w:r>
        <w:rPr/>
        <w:t>.</w:t>
        <w:tab/>
        <w:t>The "swap participant" definition is broader and more flexible than the "forward contract merchant" definition (e.g., there is no requirement that a swap participant trade as or with a merchant in commodities, as there is in the "forward contract merchant" definition discussed above).</w:t>
      </w:r>
    </w:p>
    <w:p>
      <w:pPr>
        <w:pStyle w:val="Normal"/>
        <w:spacing w:lineRule="atLeast" w:line="240"/>
        <w:rPr/>
      </w:pPr>
      <w:r>
        <w:rPr/>
      </w:r>
    </w:p>
    <w:p>
      <w:pPr>
        <w:pStyle w:val="Normal"/>
        <w:spacing w:lineRule="atLeast" w:line="240"/>
        <w:rPr/>
      </w:pPr>
      <w:r>
        <w:rPr/>
      </w:r>
    </w:p>
    <w:p>
      <w:pPr>
        <w:pStyle w:val="Normal"/>
        <w:spacing w:lineRule="atLeast" w:line="240"/>
        <w:ind w:hanging="720" w:start="720" w:end="0"/>
        <w:rPr/>
      </w:pPr>
      <w:r>
        <w:rPr>
          <w:b/>
          <w:bCs/>
          <w:spacing w:val="-3"/>
        </w:rPr>
        <w:fldChar w:fldCharType="begin"/>
      </w:r>
      <w:r>
        <w:rPr>
          <w:spacing w:val="-3"/>
          <w:b/>
          <w:bCs/>
        </w:rPr>
        <w:instrText xml:space="preserve"> SEQ level0 \* ROMAN </w:instrText>
      </w:r>
      <w:r>
        <w:rPr>
          <w:spacing w:val="-3"/>
          <w:b/>
          <w:bCs/>
        </w:rPr>
        <w:fldChar w:fldCharType="separate"/>
      </w:r>
      <w:r>
        <w:rPr>
          <w:spacing w:val="-3"/>
          <w:b/>
          <w:bCs/>
        </w:rPr>
        <w:t>III</w:t>
      </w:r>
      <w:r>
        <w:rPr>
          <w:spacing w:val="-3"/>
          <w:b/>
          <w:bCs/>
        </w:rPr>
        <w:fldChar w:fldCharType="end"/>
      </w:r>
      <w:r>
        <w:rPr>
          <w:b/>
          <w:bCs/>
        </w:rPr>
        <w:t>.</w:t>
        <w:tab/>
        <w:t>LIQUIDATION</w:t>
      </w:r>
    </w:p>
    <w:p>
      <w:pPr>
        <w:pStyle w:val="Normal"/>
        <w:spacing w:lineRule="atLeast" w:line="240"/>
        <w:rPr>
          <w:b/>
          <w:bCs/>
        </w:rPr>
      </w:pPr>
      <w:r>
        <w:rPr>
          <w:b/>
          <w:bCs/>
        </w:rPr>
      </w:r>
    </w:p>
    <w:p>
      <w:pPr>
        <w:pStyle w:val="Normal"/>
        <w:spacing w:lineRule="atLeast" w:line="240"/>
        <w:ind w:firstLine="720" w:end="0"/>
        <w:rPr/>
      </w:pPr>
      <w:r>
        <w:rPr/>
        <w:fldChar w:fldCharType="begin"/>
      </w:r>
      <w:r>
        <w:rPr/>
        <w:instrText xml:space="preserve"> SEQ LEVEL6 \* ALPHABETIC </w:instrText>
      </w:r>
      <w:r>
        <w:rPr/>
        <w:fldChar w:fldCharType="separate"/>
      </w:r>
      <w:r>
        <w:rPr/>
        <w:t>A</w:t>
      </w:r>
      <w:r>
        <w:rPr/>
        <w:fldChar w:fldCharType="end"/>
      </w:r>
      <w:r>
        <w:rPr/>
        <w:t>.</w:t>
        <w:tab/>
        <w:t>One of the basic means that the Code uses to achieve its market protection purposes is by permitting the exercise of contractual rights to liquidate or close-out forward contracts and swap agreements in the event of the insolvency or bankruptcy of one of the parties to such agreements.</w:t>
      </w:r>
    </w:p>
    <w:p>
      <w:pPr>
        <w:pStyle w:val="Normal"/>
        <w:spacing w:lineRule="atLeast" w:line="240"/>
        <w:rPr/>
      </w:pPr>
      <w:r>
        <w:rPr/>
      </w:r>
    </w:p>
    <w:p>
      <w:pPr>
        <w:pStyle w:val="Normal"/>
        <w:spacing w:lineRule="atLeast" w:line="240"/>
        <w:ind w:firstLine="720" w:end="0"/>
        <w:rPr/>
      </w:pPr>
      <w:r>
        <w:rPr/>
        <w:fldChar w:fldCharType="begin"/>
      </w:r>
      <w:r>
        <w:rPr/>
        <w:instrText xml:space="preserve"> SEQ LEVEL6 \* ALPHABETIC </w:instrText>
      </w:r>
      <w:r>
        <w:rPr/>
        <w:fldChar w:fldCharType="separate"/>
      </w:r>
      <w:r>
        <w:rPr/>
        <w:t>B</w:t>
      </w:r>
      <w:r>
        <w:rPr/>
        <w:fldChar w:fldCharType="end"/>
      </w:r>
      <w:r>
        <w:rPr/>
        <w:t>.</w:t>
        <w:tab/>
        <w:t>Review the forward contract liquidation provision.</w:t>
      </w:r>
    </w:p>
    <w:p>
      <w:pPr>
        <w:pStyle w:val="Normal"/>
        <w:spacing w:lineRule="atLeast" w:line="240"/>
        <w:rPr/>
      </w:pPr>
      <w:r>
        <w:rPr/>
      </w:r>
    </w:p>
    <w:p>
      <w:pPr>
        <w:pStyle w:val="Normal"/>
        <w:spacing w:lineRule="atLeast" w:line="240"/>
        <w:ind w:hanging="720" w:start="2160" w:end="0"/>
        <w:rPr/>
      </w:pPr>
      <w:r>
        <w:rPr/>
        <w:fldChar w:fldCharType="begin"/>
      </w:r>
      <w:r>
        <w:rPr/>
        <w:instrText xml:space="preserve"> SEQ level5 \* ARABIC </w:instrText>
      </w:r>
      <w:r>
        <w:rPr/>
        <w:fldChar w:fldCharType="separate"/>
      </w:r>
      <w:r>
        <w:rPr/>
        <w:t>1</w:t>
      </w:r>
      <w:r>
        <w:rPr/>
        <w:fldChar w:fldCharType="end"/>
      </w:r>
      <w:r>
        <w:rPr/>
        <w:t>.</w:t>
        <w:tab/>
        <w:t>Section 556 of the Code provides as follows:</w:t>
      </w:r>
    </w:p>
    <w:p>
      <w:pPr>
        <w:pStyle w:val="Normal"/>
        <w:spacing w:lineRule="atLeast" w:line="240"/>
        <w:rPr/>
      </w:pPr>
      <w:r>
        <w:rPr/>
      </w:r>
    </w:p>
    <w:p>
      <w:pPr>
        <w:pStyle w:val="Normal"/>
        <w:spacing w:lineRule="atLeast" w:line="240"/>
        <w:ind w:start="2880" w:end="0"/>
        <w:rPr/>
      </w:pPr>
      <w:r>
        <w:rPr/>
        <w:t>"The contractual right of a commodity broker or forward contract merchant to cause the liquidation of a commodity contract, as defined in section 761 of this title, or forward contract because of a condition of the kind specified in section 365(e)(1) of this title, and the right to a variation or maintenance margin payment received from a trustee with respect to open commodity contracts or forward contracts, shall not be stayed, avoided, or otherwise limited by operation of any provision of this title or by the order of a court in any proceeding under this title.  As used in this section, the term "contractual right" includes a right set forth in a rule or bylaw of a clearing organization or contract market or in a resolution of the governing board thereof and a right, whether or not evidenced in writing, arising under common law, under law merchant or by reason of normal business practice."</w:t>
      </w:r>
    </w:p>
    <w:p>
      <w:pPr>
        <w:pStyle w:val="Normal"/>
        <w:spacing w:lineRule="atLeast" w:line="240"/>
        <w:rPr/>
      </w:pPr>
      <w:r>
        <w:rPr/>
      </w:r>
    </w:p>
    <w:p>
      <w:pPr>
        <w:pStyle w:val="Normal"/>
        <w:spacing w:lineRule="atLeast" w:line="240"/>
        <w:ind w:hanging="720" w:start="2160" w:end="0"/>
        <w:rPr/>
      </w:pPr>
      <w:r>
        <w:rPr/>
        <w:fldChar w:fldCharType="begin"/>
      </w:r>
      <w:r>
        <w:rPr/>
        <w:instrText xml:space="preserve"> SEQ level5 \* ARABIC </w:instrText>
      </w:r>
      <w:r>
        <w:rPr/>
        <w:fldChar w:fldCharType="separate"/>
      </w:r>
      <w:r>
        <w:rPr/>
        <w:t>2</w:t>
      </w:r>
      <w:r>
        <w:rPr/>
        <w:fldChar w:fldCharType="end"/>
      </w:r>
      <w:r>
        <w:rPr/>
        <w:t>.</w:t>
        <w:tab/>
        <w:t>Section 556 authorizes the exercise of a contractual right to liquidate one or more forward contracts with a counterparty that becomes insolvent or the subject of a proceeding under the Code, notwithstanding (i) the automatic stay that section 362(a) of the Code generally imposes on actions against a debtor or its property after the commencement of a Code proceeding, (ii) the general prohibition contained in section 365(e)(1) of the Code of the termination of an executory contract after the commencement of a proceeding solely on the basis of a contractual right to terminate the contract upon the insolvency or bankruptcy of one of the parties or (iii) any other provision of the Code.</w:t>
      </w:r>
    </w:p>
    <w:p>
      <w:pPr>
        <w:pStyle w:val="Normal"/>
        <w:spacing w:lineRule="atLeast" w:line="240"/>
        <w:rPr/>
      </w:pPr>
      <w:r>
        <w:rPr/>
      </w:r>
    </w:p>
    <w:p>
      <w:pPr>
        <w:pStyle w:val="Normal"/>
        <w:spacing w:lineRule="atLeast" w:line="240"/>
        <w:ind w:hanging="720" w:start="2160" w:end="0"/>
        <w:rPr/>
      </w:pPr>
      <w:r>
        <w:rPr/>
        <w:fldChar w:fldCharType="begin"/>
      </w:r>
      <w:r>
        <w:rPr/>
        <w:instrText xml:space="preserve"> SEQ level5 \* ARABIC </w:instrText>
      </w:r>
      <w:r>
        <w:rPr/>
        <w:fldChar w:fldCharType="separate"/>
      </w:r>
      <w:r>
        <w:rPr/>
        <w:t>3</w:t>
      </w:r>
      <w:r>
        <w:rPr/>
        <w:fldChar w:fldCharType="end"/>
      </w:r>
      <w:r>
        <w:rPr/>
        <w:t>.</w:t>
        <w:tab/>
        <w:t>Section 556 also prevents the avoidance in a Code proceeding of liquidations effected prior to the commencement of the Code proceeding.</w:t>
      </w:r>
    </w:p>
    <w:p>
      <w:pPr>
        <w:pStyle w:val="Normal"/>
        <w:spacing w:lineRule="atLeast" w:line="240"/>
        <w:jc w:val="both"/>
        <w:rPr/>
      </w:pPr>
      <w:r>
        <w:rPr/>
      </w:r>
    </w:p>
    <w:p>
      <w:pPr>
        <w:pStyle w:val="Normal"/>
        <w:spacing w:lineRule="atLeast" w:line="240"/>
        <w:ind w:hanging="720" w:start="1440" w:end="0"/>
        <w:rPr/>
      </w:pPr>
      <w:r>
        <w:rPr/>
        <w:fldChar w:fldCharType="begin"/>
      </w:r>
      <w:r>
        <w:rPr/>
        <w:instrText xml:space="preserve"> SEQ LEVEL6 \* ALPHABETIC </w:instrText>
      </w:r>
      <w:r>
        <w:rPr/>
        <w:fldChar w:fldCharType="separate"/>
      </w:r>
      <w:r>
        <w:rPr/>
        <w:t>C</w:t>
      </w:r>
      <w:r>
        <w:rPr/>
        <w:fldChar w:fldCharType="end"/>
      </w:r>
      <w:r>
        <w:rPr/>
        <w:t>.</w:t>
        <w:tab/>
        <w:t>Review the swap agreement liquidation provision.</w:t>
      </w:r>
    </w:p>
    <w:p>
      <w:pPr>
        <w:pStyle w:val="Normal"/>
        <w:spacing w:lineRule="atLeast" w:line="240"/>
        <w:rPr/>
      </w:pPr>
      <w:r>
        <w:rPr/>
      </w:r>
    </w:p>
    <w:p>
      <w:pPr>
        <w:pStyle w:val="Normal"/>
        <w:spacing w:lineRule="atLeast" w:line="240"/>
        <w:ind w:hanging="720" w:start="2160" w:end="0"/>
        <w:rPr/>
      </w:pPr>
      <w:r>
        <w:rPr/>
        <w:fldChar w:fldCharType="begin"/>
      </w:r>
      <w:r>
        <w:rPr/>
        <w:instrText xml:space="preserve"> SEQ level5 \* ARABIC </w:instrText>
      </w:r>
      <w:r>
        <w:rPr/>
        <w:fldChar w:fldCharType="separate"/>
      </w:r>
      <w:r>
        <w:rPr/>
        <w:t>1</w:t>
      </w:r>
      <w:r>
        <w:rPr/>
        <w:fldChar w:fldCharType="end"/>
      </w:r>
      <w:r>
        <w:rPr/>
        <w:t>.</w:t>
        <w:tab/>
        <w:t>Section 560 of the Code provides as follows:</w:t>
      </w:r>
    </w:p>
    <w:p>
      <w:pPr>
        <w:pStyle w:val="Normal"/>
        <w:spacing w:lineRule="atLeast" w:line="240"/>
        <w:rPr/>
      </w:pPr>
      <w:r>
        <w:rPr/>
      </w:r>
    </w:p>
    <w:p>
      <w:pPr>
        <w:pStyle w:val="Normal"/>
        <w:spacing w:lineRule="atLeast" w:line="240"/>
        <w:ind w:hanging="720" w:start="2160" w:end="0"/>
        <w:rPr/>
      </w:pPr>
      <w:r>
        <w:rPr/>
        <w:tab/>
        <w:t>"The exercise of any contractual right of any swap participant to cause the termination of a swap agreement because of a condition of the kind specified in section 365(e)(1) of this title or to offset or net out any termination values or payment amounts arising under or in connection with any swap agreement shall not be stayed, avoided, or otherwise limited by operation of any provision of this title or by order of a court or administrative agency in any proceeding under this title.  As used in this section, the term "contractual right" includes a right, whether or not evidenced in writing, arising under common law, under law merchant, or by reason of normal business practice."</w:t>
      </w:r>
    </w:p>
    <w:p>
      <w:pPr>
        <w:pStyle w:val="Normal"/>
        <w:spacing w:lineRule="atLeast" w:line="240"/>
        <w:rPr/>
      </w:pPr>
      <w:r>
        <w:rPr/>
      </w:r>
    </w:p>
    <w:p>
      <w:pPr>
        <w:pStyle w:val="Normal"/>
        <w:spacing w:lineRule="atLeast" w:line="240"/>
        <w:ind w:hanging="720" w:start="2160" w:end="0"/>
        <w:rPr/>
      </w:pPr>
      <w:r>
        <w:rPr/>
        <w:fldChar w:fldCharType="begin"/>
      </w:r>
      <w:r>
        <w:rPr/>
        <w:instrText xml:space="preserve"> SEQ level5 \* ARABIC </w:instrText>
      </w:r>
      <w:r>
        <w:rPr/>
        <w:fldChar w:fldCharType="separate"/>
      </w:r>
      <w:r>
        <w:rPr/>
        <w:t>2</w:t>
      </w:r>
      <w:r>
        <w:rPr/>
        <w:fldChar w:fldCharType="end"/>
      </w:r>
      <w:r>
        <w:rPr/>
        <w:t>.</w:t>
        <w:tab/>
        <w:t>Notwithstanding the automatic stay or any other provision of the Code, section 560 authorizes the exercise of contractual rights to liquidate outstanding swap agreements with a counterparty that becomes insolvent or the subject of a Code proceeding.</w:t>
      </w:r>
    </w:p>
    <w:p>
      <w:pPr>
        <w:pStyle w:val="Normal"/>
        <w:spacing w:lineRule="atLeast" w:line="240"/>
        <w:rPr/>
      </w:pPr>
      <w:r>
        <w:rPr/>
      </w:r>
    </w:p>
    <w:p>
      <w:pPr>
        <w:pStyle w:val="Normal"/>
        <w:spacing w:lineRule="atLeast" w:line="240"/>
        <w:ind w:hanging="720" w:start="2160" w:end="0"/>
        <w:rPr/>
      </w:pPr>
      <w:r>
        <w:rPr/>
        <w:fldChar w:fldCharType="begin"/>
      </w:r>
      <w:r>
        <w:rPr/>
        <w:instrText xml:space="preserve"> SEQ level5 \* ARABIC </w:instrText>
      </w:r>
      <w:r>
        <w:rPr/>
        <w:fldChar w:fldCharType="separate"/>
      </w:r>
      <w:r>
        <w:rPr/>
        <w:t>3</w:t>
      </w:r>
      <w:r>
        <w:rPr/>
        <w:fldChar w:fldCharType="end"/>
      </w:r>
      <w:r>
        <w:rPr/>
        <w:t>.</w:t>
        <w:tab/>
        <w:t>Section 560 also expressly protects the netting of termination values or other payment amounts arising in connection with such agreements.</w:t>
      </w:r>
    </w:p>
    <w:p>
      <w:pPr>
        <w:pStyle w:val="Normal"/>
        <w:spacing w:lineRule="atLeast" w:line="240"/>
        <w:ind w:hanging="720" w:start="2160" w:end="0"/>
        <w:rPr/>
      </w:pPr>
      <w:r>
        <w:rPr/>
      </w:r>
    </w:p>
    <w:p>
      <w:pPr>
        <w:pStyle w:val="Normal"/>
        <w:spacing w:lineRule="atLeast" w:line="240"/>
        <w:ind w:hanging="720" w:start="2160" w:end="0"/>
        <w:rPr/>
      </w:pPr>
      <w:r>
        <w:rPr/>
        <w:fldChar w:fldCharType="begin"/>
      </w:r>
      <w:r>
        <w:rPr/>
        <w:instrText xml:space="preserve"> SEQ level5 \* ARABIC </w:instrText>
      </w:r>
      <w:r>
        <w:rPr/>
        <w:fldChar w:fldCharType="separate"/>
      </w:r>
      <w:r>
        <w:rPr/>
        <w:t>4</w:t>
      </w:r>
      <w:r>
        <w:rPr/>
        <w:fldChar w:fldCharType="end"/>
      </w:r>
      <w:r>
        <w:rPr/>
        <w:t>.</w:t>
        <w:tab/>
        <w:t>The rule of the Federal Energy Regulatory Commission ("FERC") which requires that notice of termination of a filed rate schedule be filed with FERC does not apply to liquidation of discretion power sales under rate schedules or umbrella service agreements.</w:t>
      </w:r>
    </w:p>
    <w:p>
      <w:pPr>
        <w:pStyle w:val="Normal"/>
        <w:spacing w:lineRule="atLeast" w:line="240"/>
        <w:rPr/>
      </w:pPr>
      <w:r>
        <w:rPr/>
      </w:r>
    </w:p>
    <w:p>
      <w:pPr>
        <w:pStyle w:val="Normal"/>
        <w:spacing w:lineRule="atLeast" w:line="240"/>
        <w:rPr/>
      </w:pPr>
      <w:r>
        <w:rPr/>
      </w:r>
    </w:p>
    <w:p>
      <w:pPr>
        <w:pStyle w:val="Normal"/>
        <w:spacing w:lineRule="atLeast" w:line="240"/>
        <w:rPr/>
      </w:pPr>
      <w:r>
        <w:rPr>
          <w:b/>
          <w:bCs/>
          <w:spacing w:val="-3"/>
        </w:rPr>
        <w:fldChar w:fldCharType="begin"/>
      </w:r>
      <w:r>
        <w:rPr>
          <w:spacing w:val="-3"/>
          <w:b/>
          <w:bCs/>
        </w:rPr>
        <w:instrText xml:space="preserve"> SEQ level0 \* ROMAN </w:instrText>
      </w:r>
      <w:r>
        <w:rPr>
          <w:spacing w:val="-3"/>
          <w:b/>
          <w:bCs/>
        </w:rPr>
        <w:fldChar w:fldCharType="separate"/>
      </w:r>
      <w:r>
        <w:rPr>
          <w:spacing w:val="-3"/>
          <w:b/>
          <w:bCs/>
        </w:rPr>
        <w:t>IV</w:t>
      </w:r>
      <w:r>
        <w:rPr>
          <w:spacing w:val="-3"/>
          <w:b/>
          <w:bCs/>
        </w:rPr>
        <w:fldChar w:fldCharType="end"/>
      </w:r>
      <w:r>
        <w:rPr>
          <w:b/>
          <w:bCs/>
        </w:rPr>
        <w:t>.</w:t>
        <w:tab/>
        <w:t>SETOFFS</w:t>
      </w:r>
    </w:p>
    <w:p>
      <w:pPr>
        <w:pStyle w:val="Normal"/>
        <w:spacing w:lineRule="atLeast" w:line="240"/>
        <w:rPr/>
      </w:pPr>
      <w:r>
        <w:rPr/>
      </w:r>
    </w:p>
    <w:p>
      <w:pPr>
        <w:pStyle w:val="Normal"/>
        <w:spacing w:lineRule="atLeast" w:line="240"/>
        <w:ind w:hanging="720" w:start="1440" w:end="0"/>
        <w:rPr/>
      </w:pPr>
      <w:r>
        <w:rPr/>
        <w:fldChar w:fldCharType="begin"/>
      </w:r>
      <w:r>
        <w:rPr/>
        <w:instrText xml:space="preserve"> SEQ LEVEL6 \* ALPHABETIC </w:instrText>
      </w:r>
      <w:r>
        <w:rPr/>
        <w:fldChar w:fldCharType="separate"/>
      </w:r>
      <w:r>
        <w:rPr/>
        <w:t>A</w:t>
      </w:r>
      <w:r>
        <w:rPr/>
        <w:fldChar w:fldCharType="end"/>
      </w:r>
      <w:r>
        <w:rPr/>
        <w:t>.</w:t>
        <w:tab/>
        <w:t>Review the forward contract setoff provision.</w:t>
      </w:r>
    </w:p>
    <w:p>
      <w:pPr>
        <w:pStyle w:val="Normal"/>
        <w:spacing w:lineRule="atLeast" w:line="240"/>
        <w:rPr/>
      </w:pPr>
      <w:r>
        <w:rPr/>
      </w:r>
    </w:p>
    <w:p>
      <w:pPr>
        <w:pStyle w:val="Normal"/>
        <w:spacing w:lineRule="atLeast" w:line="240"/>
        <w:ind w:hanging="720" w:start="2160" w:end="0"/>
        <w:rPr/>
      </w:pPr>
      <w:r>
        <w:rPr/>
        <w:fldChar w:fldCharType="begin"/>
      </w:r>
      <w:r>
        <w:rPr/>
        <w:instrText xml:space="preserve"> SEQ level5 \* ARABIC </w:instrText>
      </w:r>
      <w:r>
        <w:rPr/>
        <w:fldChar w:fldCharType="separate"/>
      </w:r>
      <w:r>
        <w:rPr/>
        <w:t>1</w:t>
      </w:r>
      <w:r>
        <w:rPr/>
        <w:fldChar w:fldCharType="end"/>
      </w:r>
      <w:r>
        <w:rPr/>
        <w:t>.</w:t>
        <w:tab/>
        <w:t>Section 362(b)(6) of the Code exempts the following setoffs relating to forward contracts from the automatic stay:</w:t>
      </w:r>
    </w:p>
    <w:p>
      <w:pPr>
        <w:pStyle w:val="Normal"/>
        <w:spacing w:lineRule="atLeast" w:line="240"/>
        <w:rPr/>
      </w:pPr>
      <w:r>
        <w:rPr/>
      </w:r>
    </w:p>
    <w:p>
      <w:pPr>
        <w:pStyle w:val="Normal"/>
        <w:spacing w:lineRule="atLeast" w:line="240"/>
        <w:ind w:start="2880" w:end="0"/>
        <w:rPr/>
      </w:pPr>
      <w:r>
        <w:rPr/>
        <w:t xml:space="preserve">"[T]he setoff by a commodity broker, </w:t>
      </w:r>
      <w:r>
        <w:rPr>
          <w:u w:val="single"/>
        </w:rPr>
        <w:t>forward contract merchant</w:t>
      </w:r>
      <w:r>
        <w:rPr/>
        <w:t xml:space="preserve">, stockbroker, financial institutions (sic), or securities clearing agency of any mutual debt and claim under or in connection with commodity contracts, as defined in section 761 of this title, </w:t>
      </w:r>
      <w:r>
        <w:rPr>
          <w:u w:val="single"/>
        </w:rPr>
        <w:t>forward contracts</w:t>
      </w:r>
      <w:r>
        <w:rPr/>
        <w:t xml:space="preserve">, or securities contracts, as defined in section 741 of this title, that constitutes the setoff of a claim against the debtor for a margin payment, as defined in section 101, 741, or 761 of this title, or settlement payment, as defined in section 101 or 741 of this title, arising out of commodity contracts, </w:t>
      </w:r>
      <w:r>
        <w:rPr>
          <w:u w:val="single"/>
        </w:rPr>
        <w:t>forward contracts</w:t>
      </w:r>
      <w:r>
        <w:rPr/>
        <w:t xml:space="preserve">, or securities contracts against cash, securities, or other property held by or due from such commodity broker, </w:t>
      </w:r>
      <w:r>
        <w:rPr>
          <w:u w:val="single"/>
        </w:rPr>
        <w:t>forward contract merchant</w:t>
      </w:r>
      <w:r>
        <w:rPr/>
        <w:t xml:space="preserve">, stockbroker, financial institutions (sic), or securities clearing agency to margin, guarantee, secure, or settle commodity contracts, </w:t>
      </w:r>
      <w:r>
        <w:rPr>
          <w:u w:val="single"/>
        </w:rPr>
        <w:t>forward contracts</w:t>
      </w:r>
      <w:r>
        <w:rPr/>
        <w:t>, or securities contracts…" (emphasis added).</w:t>
      </w:r>
    </w:p>
    <w:p>
      <w:pPr>
        <w:pStyle w:val="Normal"/>
        <w:spacing w:lineRule="atLeast" w:line="240"/>
        <w:rPr/>
      </w:pPr>
      <w:r>
        <w:rPr/>
      </w:r>
    </w:p>
    <w:p>
      <w:pPr>
        <w:pStyle w:val="Normal"/>
        <w:spacing w:lineRule="atLeast" w:line="240"/>
        <w:ind w:hanging="720" w:start="2160" w:end="0"/>
        <w:rPr/>
      </w:pPr>
      <w:r>
        <w:rPr/>
        <w:fldChar w:fldCharType="begin"/>
      </w:r>
      <w:r>
        <w:rPr/>
        <w:instrText xml:space="preserve"> SEQ level5 \* ARABIC </w:instrText>
      </w:r>
      <w:r>
        <w:rPr/>
        <w:fldChar w:fldCharType="separate"/>
      </w:r>
      <w:r>
        <w:rPr/>
        <w:t>2</w:t>
      </w:r>
      <w:r>
        <w:rPr/>
        <w:fldChar w:fldCharType="end"/>
      </w:r>
      <w:r>
        <w:rPr/>
        <w:t>.</w:t>
        <w:tab/>
        <w:t>Section 362(b)(6) provides an exemption for the setoff by a forward contract merchant of any mutual debt and claim arising under a forward contract, that constitutes a claim against the debtor for a margin payment or a settlement payment against cash, securities or other property held by or due from the non-debtor to margin, guarantee, secure or settle forward contracts.  The legislative history of section 362(b)(6) makes clear that a margin payment or settlement payment owed to a debtor with respect to a forward contract should be treated as other property due from the non-debtor that may be set off against a margin payment or settlement payment that the debtor owes to the non-debtor with respect to a forward contract.</w:t>
      </w:r>
    </w:p>
    <w:p>
      <w:pPr>
        <w:pStyle w:val="Normal"/>
        <w:spacing w:lineRule="atLeast" w:line="240"/>
        <w:ind w:hanging="720" w:start="2160" w:end="0"/>
        <w:rPr/>
      </w:pPr>
      <w:r>
        <w:rPr/>
      </w:r>
    </w:p>
    <w:p>
      <w:pPr>
        <w:pStyle w:val="Normal"/>
        <w:spacing w:lineRule="atLeast" w:line="240"/>
        <w:ind w:hanging="720" w:start="2160" w:end="0"/>
        <w:rPr/>
      </w:pPr>
      <w:r>
        <w:rPr/>
        <w:fldChar w:fldCharType="begin"/>
      </w:r>
      <w:r>
        <w:rPr/>
        <w:instrText xml:space="preserve"> SEQ level5 \* ARABIC </w:instrText>
      </w:r>
      <w:r>
        <w:rPr/>
        <w:fldChar w:fldCharType="separate"/>
      </w:r>
      <w:r>
        <w:rPr/>
        <w:t>3</w:t>
      </w:r>
      <w:r>
        <w:rPr/>
        <w:fldChar w:fldCharType="end"/>
      </w:r>
      <w:r>
        <w:rPr/>
        <w:t>.</w:t>
        <w:tab/>
        <w:t>Review the forward contract "margin payment" definition in section 101(38), which provides:</w:t>
      </w:r>
    </w:p>
    <w:p>
      <w:pPr>
        <w:pStyle w:val="Normal"/>
        <w:spacing w:lineRule="atLeast" w:line="240"/>
        <w:rPr/>
      </w:pPr>
      <w:r>
        <w:rPr/>
      </w:r>
    </w:p>
    <w:p>
      <w:pPr>
        <w:pStyle w:val="Normal"/>
        <w:spacing w:lineRule="atLeast" w:line="240"/>
        <w:ind w:start="2880" w:end="0"/>
        <w:rPr/>
      </w:pPr>
      <w:r>
        <w:rPr/>
        <w:t>"'margin payment' means, for purposes of the forward contract provisions of this title, payment or deposit of cash, a security or other property, that is commonly known in the forward contract trade as original margin, initial margin, maintenance margin, or variation margin, including mark-to-market payments, or variation payments."</w:t>
      </w:r>
    </w:p>
    <w:p>
      <w:pPr>
        <w:pStyle w:val="Normal"/>
        <w:spacing w:lineRule="atLeast" w:line="240"/>
        <w:rPr/>
      </w:pPr>
      <w:r>
        <w:rPr/>
      </w:r>
    </w:p>
    <w:p>
      <w:pPr>
        <w:pStyle w:val="Normal"/>
        <w:spacing w:lineRule="atLeast" w:line="240"/>
        <w:ind w:hanging="720" w:start="2160" w:end="0"/>
        <w:rPr/>
      </w:pPr>
      <w:r>
        <w:rPr/>
        <w:fldChar w:fldCharType="begin"/>
      </w:r>
      <w:r>
        <w:rPr/>
        <w:instrText xml:space="preserve"> SEQ level5 \* ARABIC </w:instrText>
      </w:r>
      <w:r>
        <w:rPr/>
        <w:fldChar w:fldCharType="separate"/>
      </w:r>
      <w:r>
        <w:rPr/>
        <w:t>4</w:t>
      </w:r>
      <w:r>
        <w:rPr/>
        <w:fldChar w:fldCharType="end"/>
      </w:r>
      <w:r>
        <w:rPr/>
        <w:t>.</w:t>
        <w:tab/>
        <w:t>Review the forward contract "settlement payment" definition in section 101(51A), which provides:</w:t>
      </w:r>
    </w:p>
    <w:p>
      <w:pPr>
        <w:pStyle w:val="Normal"/>
        <w:spacing w:lineRule="atLeast" w:line="240"/>
        <w:rPr/>
      </w:pPr>
      <w:r>
        <w:rPr/>
      </w:r>
    </w:p>
    <w:p>
      <w:pPr>
        <w:pStyle w:val="Normal"/>
        <w:spacing w:lineRule="atLeast" w:line="240"/>
        <w:ind w:start="2880" w:end="0"/>
        <w:rPr/>
      </w:pPr>
      <w:r>
        <w:rPr/>
        <w:t>"'settlement payment' means, for purposes of the forward contract provisions of this title, a preliminary settlement payment, a partial settlement payment, an interim settlement payment, a settlement payment on account, a final settlement payment, a net settlement payment, or any other similar payment commonly used in the forward contract trade."</w:t>
      </w:r>
    </w:p>
    <w:p>
      <w:pPr>
        <w:pStyle w:val="Normal"/>
        <w:spacing w:lineRule="atLeast" w:line="240"/>
        <w:rPr/>
      </w:pPr>
      <w:r>
        <w:rPr/>
      </w:r>
    </w:p>
    <w:p>
      <w:pPr>
        <w:pStyle w:val="Normal"/>
        <w:spacing w:lineRule="atLeast" w:line="240"/>
        <w:ind w:hanging="720" w:start="1440" w:end="0"/>
        <w:rPr/>
      </w:pPr>
      <w:r>
        <w:rPr/>
        <w:fldChar w:fldCharType="begin"/>
      </w:r>
      <w:r>
        <w:rPr/>
        <w:instrText xml:space="preserve"> SEQ LEVEL6 \* ALPHABETIC </w:instrText>
      </w:r>
      <w:r>
        <w:rPr/>
        <w:fldChar w:fldCharType="separate"/>
      </w:r>
      <w:r>
        <w:rPr/>
        <w:t>B</w:t>
      </w:r>
      <w:r>
        <w:rPr/>
        <w:fldChar w:fldCharType="end"/>
      </w:r>
      <w:r>
        <w:rPr/>
        <w:t>.</w:t>
        <w:tab/>
        <w:t>Review the swap agreement setoff provision.</w:t>
      </w:r>
    </w:p>
    <w:p>
      <w:pPr>
        <w:pStyle w:val="Normal"/>
        <w:spacing w:lineRule="atLeast" w:line="240"/>
        <w:rPr/>
      </w:pPr>
      <w:r>
        <w:rPr/>
      </w:r>
    </w:p>
    <w:p>
      <w:pPr>
        <w:pStyle w:val="Normal"/>
        <w:spacing w:lineRule="atLeast" w:line="240"/>
        <w:ind w:hanging="720" w:start="2160" w:end="0"/>
        <w:rPr/>
      </w:pPr>
      <w:r>
        <w:rPr/>
        <w:fldChar w:fldCharType="begin"/>
      </w:r>
      <w:r>
        <w:rPr/>
        <w:instrText xml:space="preserve"> SEQ level5 \* ARABIC </w:instrText>
      </w:r>
      <w:r>
        <w:rPr/>
        <w:fldChar w:fldCharType="separate"/>
      </w:r>
      <w:r>
        <w:rPr/>
        <w:t>1</w:t>
      </w:r>
      <w:r>
        <w:rPr/>
        <w:fldChar w:fldCharType="end"/>
      </w:r>
      <w:r>
        <w:rPr/>
        <w:t>.</w:t>
        <w:tab/>
        <w:t>Section 362(b)(17) of the Code exempts the following setoffs relating to swap agreements from the automatic stay:</w:t>
      </w:r>
    </w:p>
    <w:p>
      <w:pPr>
        <w:pStyle w:val="Normal"/>
        <w:spacing w:lineRule="atLeast" w:line="240"/>
        <w:rPr/>
      </w:pPr>
      <w:r>
        <w:rPr/>
      </w:r>
    </w:p>
    <w:p>
      <w:pPr>
        <w:pStyle w:val="Normal"/>
        <w:spacing w:lineRule="atLeast" w:line="240"/>
        <w:ind w:start="2880" w:end="0"/>
        <w:rPr/>
      </w:pPr>
      <w:r>
        <w:rPr/>
        <w:t>"[T]he setoff by a swap participant . . . of any mutual debt and claim under or in connection with any swap agreement that constitutes the setoff of a claim against the debtor for any payment due from the debtor under or in connection with any swap agreement against any payment due to the debtor from the swap participant under or in connection with any swap agreement or against cash, securities, or other property of the debtor held by or due from such swap participant to guarantee, secure or settle any swap agreement…."</w:t>
      </w:r>
    </w:p>
    <w:p>
      <w:pPr>
        <w:pStyle w:val="Normal"/>
        <w:spacing w:lineRule="atLeast" w:line="240"/>
        <w:rPr/>
      </w:pPr>
      <w:r>
        <w:rPr/>
      </w:r>
    </w:p>
    <w:p>
      <w:pPr>
        <w:pStyle w:val="Normal"/>
        <w:spacing w:lineRule="atLeast" w:line="240"/>
        <w:ind w:hanging="720" w:start="2160" w:end="0"/>
        <w:rPr/>
      </w:pPr>
      <w:r>
        <w:rPr/>
        <w:fldChar w:fldCharType="begin"/>
      </w:r>
      <w:r>
        <w:rPr/>
        <w:instrText xml:space="preserve"> SEQ level5 \* ARABIC </w:instrText>
      </w:r>
      <w:r>
        <w:rPr/>
        <w:fldChar w:fldCharType="separate"/>
      </w:r>
      <w:r>
        <w:rPr/>
        <w:t>2</w:t>
      </w:r>
      <w:r>
        <w:rPr/>
        <w:fldChar w:fldCharType="end"/>
      </w:r>
      <w:r>
        <w:rPr/>
        <w:t>.</w:t>
        <w:tab/>
        <w:t>Section 362(b)(17) exempts the setoff by a swap participant of any mutual debt and claim that arises under a swap agreement that constitutes the setoff of a claim against the debtor for a payment due from the debtor under any swap agreement against any payment due to the debtor under any swap agreement or against any cash, securities or other property of the debtor held by or due from such swap participant to guarantee, secure or settle a swap agreement.</w:t>
      </w:r>
    </w:p>
    <w:p>
      <w:pPr>
        <w:pStyle w:val="Normal"/>
        <w:spacing w:lineRule="atLeast" w:line="240"/>
        <w:rPr/>
      </w:pPr>
      <w:r>
        <w:rPr/>
      </w:r>
    </w:p>
    <w:p>
      <w:pPr>
        <w:pStyle w:val="Normal"/>
        <w:spacing w:lineRule="atLeast" w:line="240"/>
        <w:ind w:hanging="720" w:start="2160" w:end="0"/>
        <w:rPr/>
      </w:pPr>
      <w:r>
        <w:rPr/>
        <w:fldChar w:fldCharType="begin"/>
      </w:r>
      <w:r>
        <w:rPr/>
        <w:instrText xml:space="preserve"> SEQ level5 \* ARABIC </w:instrText>
      </w:r>
      <w:r>
        <w:rPr/>
        <w:fldChar w:fldCharType="separate"/>
      </w:r>
      <w:r>
        <w:rPr/>
        <w:t>3</w:t>
      </w:r>
      <w:r>
        <w:rPr/>
        <w:fldChar w:fldCharType="end"/>
      </w:r>
      <w:r>
        <w:rPr/>
        <w:t>.</w:t>
        <w:tab/>
        <w:t>Insofar as the swap agreement setoff provisions encompass any payment due under a swap agreement, they arguably are broader than the forward contract setoff provisions, which apply only to margin payments and settlement payments.</w:t>
      </w:r>
    </w:p>
    <w:p>
      <w:pPr>
        <w:pStyle w:val="Normal"/>
        <w:spacing w:lineRule="atLeast" w:line="240"/>
        <w:rPr/>
      </w:pPr>
      <w:r>
        <w:rPr/>
      </w:r>
    </w:p>
    <w:p>
      <w:pPr>
        <w:pStyle w:val="Normal"/>
        <w:spacing w:lineRule="atLeast" w:line="240"/>
        <w:rPr/>
      </w:pPr>
      <w:r>
        <w:rPr/>
      </w:r>
    </w:p>
    <w:p>
      <w:pPr>
        <w:pStyle w:val="Normal"/>
        <w:spacing w:lineRule="atLeast" w:line="240"/>
        <w:rPr/>
      </w:pPr>
      <w:r>
        <w:rPr>
          <w:b/>
          <w:bCs/>
          <w:spacing w:val="-3"/>
        </w:rPr>
        <w:fldChar w:fldCharType="begin"/>
      </w:r>
      <w:r>
        <w:rPr>
          <w:spacing w:val="-3"/>
          <w:b/>
          <w:bCs/>
        </w:rPr>
        <w:instrText xml:space="preserve"> SEQ level0 \* ROMAN </w:instrText>
      </w:r>
      <w:r>
        <w:rPr>
          <w:spacing w:val="-3"/>
          <w:b/>
          <w:bCs/>
        </w:rPr>
        <w:fldChar w:fldCharType="separate"/>
      </w:r>
      <w:r>
        <w:rPr>
          <w:spacing w:val="-3"/>
          <w:b/>
          <w:bCs/>
        </w:rPr>
        <w:t>V</w:t>
      </w:r>
      <w:r>
        <w:rPr>
          <w:spacing w:val="-3"/>
          <w:b/>
          <w:bCs/>
        </w:rPr>
        <w:fldChar w:fldCharType="end"/>
      </w:r>
      <w:r>
        <w:rPr>
          <w:b/>
          <w:bCs/>
        </w:rPr>
        <w:t>.</w:t>
        <w:tab/>
        <w:t>PREFERENCES AND FRAUDULENT TRANSFERS</w:t>
      </w:r>
    </w:p>
    <w:p>
      <w:pPr>
        <w:pStyle w:val="Normal"/>
        <w:spacing w:lineRule="atLeast" w:line="240"/>
        <w:rPr>
          <w:b/>
          <w:bCs/>
        </w:rPr>
      </w:pPr>
      <w:r>
        <w:rPr>
          <w:b/>
          <w:bCs/>
        </w:rPr>
      </w:r>
    </w:p>
    <w:p>
      <w:pPr>
        <w:pStyle w:val="Normal"/>
        <w:spacing w:lineRule="atLeast" w:line="240"/>
        <w:ind w:firstLine="720" w:end="0"/>
        <w:rPr/>
      </w:pPr>
      <w:r>
        <w:rPr/>
        <w:fldChar w:fldCharType="begin"/>
      </w:r>
      <w:r>
        <w:rPr/>
        <w:instrText xml:space="preserve"> SEQ LEVEL6 \* ALPHABETIC </w:instrText>
      </w:r>
      <w:r>
        <w:rPr/>
        <w:fldChar w:fldCharType="separate"/>
      </w:r>
      <w:r>
        <w:rPr/>
        <w:t>A</w:t>
      </w:r>
      <w:r>
        <w:rPr/>
        <w:fldChar w:fldCharType="end"/>
      </w:r>
      <w:r>
        <w:rPr/>
        <w:t>.</w:t>
        <w:tab/>
        <w:t>In the case of forward contracts, sections 546(e) and 548(d)(2)(B) effectively prevent the avoidance (as a preference or fraudulent transfer) of any margin payment or settlement payment that is made by or to a forward contract merchant prior to the commencement of a case under the Code, except in a case of "actual intent to hinder, delay, or defraud" creditors.</w:t>
      </w:r>
    </w:p>
    <w:p>
      <w:pPr>
        <w:pStyle w:val="Normal"/>
        <w:spacing w:lineRule="atLeast" w:line="240"/>
        <w:rPr/>
      </w:pPr>
      <w:r>
        <w:rPr/>
      </w:r>
    </w:p>
    <w:p>
      <w:pPr>
        <w:pStyle w:val="Normal"/>
        <w:spacing w:lineRule="atLeast" w:line="240"/>
        <w:ind w:firstLine="720" w:end="0"/>
        <w:rPr/>
      </w:pPr>
      <w:r>
        <w:rPr/>
        <w:fldChar w:fldCharType="begin"/>
      </w:r>
      <w:r>
        <w:rPr/>
        <w:instrText xml:space="preserve"> SEQ LEVEL6 \* ALPHABETIC </w:instrText>
      </w:r>
      <w:r>
        <w:rPr/>
        <w:fldChar w:fldCharType="separate"/>
      </w:r>
      <w:r>
        <w:rPr/>
        <w:t>B</w:t>
      </w:r>
      <w:r>
        <w:rPr/>
        <w:fldChar w:fldCharType="end"/>
      </w:r>
      <w:r>
        <w:rPr/>
        <w:t>.</w:t>
        <w:tab/>
        <w:t>Similarly, in the case of swaps, sections 546(g) and 548(d)(2)(D) prevent the avoidance of any transfer made under a swap agreement by or to a swap participant prior to the commencement of a case under the Code, subject to an identical exception for actual fraud.</w:t>
      </w:r>
    </w:p>
    <w:p>
      <w:pPr>
        <w:pStyle w:val="Normal"/>
        <w:spacing w:lineRule="atLeast" w:line="240"/>
        <w:rPr/>
      </w:pPr>
      <w:r>
        <w:rPr/>
      </w:r>
    </w:p>
    <w:p>
      <w:pPr>
        <w:pStyle w:val="Normal"/>
        <w:spacing w:lineRule="atLeast" w:line="240"/>
        <w:rPr/>
      </w:pPr>
      <w:r>
        <w:rPr/>
      </w:r>
    </w:p>
    <w:p>
      <w:pPr>
        <w:pStyle w:val="Normal"/>
        <w:spacing w:lineRule="atLeast" w:line="240"/>
        <w:ind w:hanging="720" w:start="720" w:end="0"/>
        <w:rPr/>
      </w:pPr>
      <w:r>
        <w:rPr>
          <w:b/>
          <w:bCs/>
          <w:spacing w:val="-3"/>
        </w:rPr>
        <w:fldChar w:fldCharType="begin"/>
      </w:r>
      <w:r>
        <w:rPr>
          <w:spacing w:val="-3"/>
          <w:b/>
          <w:bCs/>
        </w:rPr>
        <w:instrText xml:space="preserve"> SEQ level0 \* ROMAN </w:instrText>
      </w:r>
      <w:r>
        <w:rPr>
          <w:spacing w:val="-3"/>
          <w:b/>
          <w:bCs/>
        </w:rPr>
        <w:fldChar w:fldCharType="separate"/>
      </w:r>
      <w:r>
        <w:rPr>
          <w:spacing w:val="-3"/>
          <w:b/>
          <w:bCs/>
        </w:rPr>
        <w:t>VI</w:t>
      </w:r>
      <w:r>
        <w:rPr>
          <w:spacing w:val="-3"/>
          <w:b/>
          <w:bCs/>
        </w:rPr>
        <w:fldChar w:fldCharType="end"/>
      </w:r>
      <w:r>
        <w:rPr>
          <w:b/>
          <w:bCs/>
        </w:rPr>
        <w:t>.</w:t>
        <w:tab/>
        <w:t>DEPOSITORY INSTITUTIONS AND INSURANCE COMPANIES</w:t>
      </w:r>
    </w:p>
    <w:p>
      <w:pPr>
        <w:pStyle w:val="Normal"/>
        <w:spacing w:lineRule="atLeast" w:line="240"/>
        <w:rPr/>
      </w:pPr>
      <w:r>
        <w:rPr/>
      </w:r>
    </w:p>
    <w:p>
      <w:pPr>
        <w:pStyle w:val="Normal"/>
        <w:spacing w:lineRule="atLeast" w:line="240"/>
        <w:ind w:firstLine="720" w:end="0"/>
        <w:rPr/>
      </w:pPr>
      <w:r>
        <w:rPr/>
        <w:fldChar w:fldCharType="begin"/>
      </w:r>
      <w:r>
        <w:rPr/>
        <w:instrText xml:space="preserve"> SEQ LEVEL6 \* ALPHABETIC </w:instrText>
      </w:r>
      <w:r>
        <w:rPr/>
        <w:fldChar w:fldCharType="separate"/>
      </w:r>
      <w:r>
        <w:rPr/>
        <w:t>A</w:t>
      </w:r>
      <w:r>
        <w:rPr/>
        <w:fldChar w:fldCharType="end"/>
      </w:r>
      <w:r>
        <w:rPr/>
        <w:t>.</w:t>
        <w:tab/>
        <w:t>Depository institution insolvencies are not subject to the Code.  Such proceedings are, instead, conducted pursuant to a similar, but separate, scheme established by the Federal Deposit Insurance Act (the "FDIA").</w:t>
      </w:r>
    </w:p>
    <w:p>
      <w:pPr>
        <w:pStyle w:val="Normal"/>
        <w:spacing w:lineRule="atLeast" w:line="240"/>
        <w:ind w:firstLine="720" w:end="0"/>
        <w:rPr/>
      </w:pPr>
      <w:r>
        <w:rPr/>
      </w:r>
    </w:p>
    <w:p>
      <w:pPr>
        <w:pStyle w:val="Normal"/>
        <w:spacing w:lineRule="atLeast" w:line="240"/>
        <w:ind w:firstLine="720" w:end="0"/>
        <w:rPr/>
      </w:pPr>
      <w:r>
        <w:rPr/>
        <w:fldChar w:fldCharType="begin"/>
      </w:r>
      <w:r>
        <w:rPr/>
        <w:instrText xml:space="preserve"> SEQ LEVEL6 \* ALPHABETIC </w:instrText>
      </w:r>
      <w:r>
        <w:rPr/>
        <w:fldChar w:fldCharType="separate"/>
      </w:r>
      <w:r>
        <w:rPr/>
        <w:t>B</w:t>
      </w:r>
      <w:r>
        <w:rPr/>
        <w:fldChar w:fldCharType="end"/>
      </w:r>
      <w:r>
        <w:rPr/>
        <w:t>.</w:t>
        <w:tab/>
        <w:t>Insurance company insolvencies are also not subject to the Code.  Such proceedings are, instead, conducted pursuant to separate statutes enacted by each state.  Many states use the Insurers Rehabilitation and Liquidation Model Act (the "Model Act") promulgated by the National Association of Insurance Commissioners as the basis for their statutes.</w:t>
      </w:r>
    </w:p>
    <w:p>
      <w:pPr>
        <w:pStyle w:val="Normal"/>
        <w:spacing w:lineRule="atLeast" w:line="240"/>
        <w:ind w:firstLine="720" w:end="0"/>
        <w:rPr/>
      </w:pPr>
      <w:r>
        <w:rPr/>
      </w:r>
    </w:p>
    <w:p>
      <w:pPr>
        <w:pStyle w:val="Normal"/>
        <w:spacing w:lineRule="atLeast" w:line="240"/>
        <w:ind w:firstLine="720" w:end="0"/>
        <w:rPr/>
      </w:pPr>
      <w:r>
        <w:rPr/>
        <w:fldChar w:fldCharType="begin"/>
      </w:r>
      <w:r>
        <w:rPr/>
        <w:instrText xml:space="preserve"> SEQ LEVEL6 \* ALPHABETIC </w:instrText>
      </w:r>
      <w:r>
        <w:rPr/>
        <w:fldChar w:fldCharType="separate"/>
      </w:r>
      <w:r>
        <w:rPr/>
        <w:t>C</w:t>
      </w:r>
      <w:r>
        <w:rPr/>
        <w:fldChar w:fldCharType="end"/>
      </w:r>
      <w:r>
        <w:rPr/>
        <w:t>.</w:t>
        <w:tab/>
        <w:t>Both the FDIA and the Model Act have provisions governing forward contracts and swaps that are similar to the Code's provisions.  However, there are technical differences between these statutes and the Code, so it is important that each relevant statute (and the related regulations) be reviewed carefully before transactions are entered into.</w:t>
      </w:r>
    </w:p>
    <w:p>
      <w:pPr>
        <w:pStyle w:val="Normal"/>
        <w:spacing w:lineRule="atLeast" w:line="240"/>
        <w:rPr/>
      </w:pPr>
      <w:r>
        <w:rPr/>
      </w:r>
    </w:p>
    <w:p>
      <w:pPr>
        <w:pStyle w:val="Normal"/>
        <w:spacing w:lineRule="atLeast" w:line="240"/>
        <w:ind w:hanging="720" w:start="2160" w:end="0"/>
        <w:rPr/>
      </w:pPr>
      <w:r>
        <w:rPr/>
      </w:r>
    </w:p>
    <w:p>
      <w:pPr>
        <w:pStyle w:val="Normal"/>
        <w:spacing w:lineRule="atLeast" w:line="240"/>
        <w:ind w:hanging="720" w:start="720" w:end="0"/>
        <w:rPr/>
      </w:pPr>
      <w:r>
        <w:rPr>
          <w:b/>
          <w:bCs/>
          <w:spacing w:val="-3"/>
        </w:rPr>
        <w:fldChar w:fldCharType="begin"/>
      </w:r>
      <w:r>
        <w:rPr>
          <w:spacing w:val="-3"/>
          <w:b/>
          <w:bCs/>
        </w:rPr>
        <w:instrText xml:space="preserve"> SEQ level0 \* ROMAN </w:instrText>
      </w:r>
      <w:r>
        <w:rPr>
          <w:spacing w:val="-3"/>
          <w:b/>
          <w:bCs/>
        </w:rPr>
        <w:fldChar w:fldCharType="separate"/>
      </w:r>
      <w:r>
        <w:rPr>
          <w:spacing w:val="-3"/>
          <w:b/>
          <w:bCs/>
        </w:rPr>
        <w:t>VII</w:t>
      </w:r>
      <w:r>
        <w:rPr>
          <w:spacing w:val="-3"/>
          <w:b/>
          <w:bCs/>
        </w:rPr>
        <w:fldChar w:fldCharType="end"/>
      </w:r>
      <w:r>
        <w:rPr>
          <w:b/>
          <w:bCs/>
        </w:rPr>
        <w:t>.</w:t>
        <w:tab/>
        <w:t>NON-U.S. COUNTERPARTIES</w:t>
      </w:r>
    </w:p>
    <w:p>
      <w:pPr>
        <w:pStyle w:val="Normal"/>
        <w:spacing w:lineRule="atLeast" w:line="240"/>
        <w:rPr>
          <w:b/>
          <w:bCs/>
        </w:rPr>
      </w:pPr>
      <w:r>
        <w:rPr>
          <w:b/>
          <w:bCs/>
        </w:rPr>
      </w:r>
    </w:p>
    <w:p>
      <w:pPr>
        <w:pStyle w:val="Normal"/>
        <w:spacing w:lineRule="atLeast" w:line="240"/>
        <w:ind w:firstLine="720" w:end="0"/>
        <w:rPr/>
      </w:pPr>
      <w:r>
        <w:rPr/>
        <w:fldChar w:fldCharType="begin"/>
      </w:r>
      <w:r>
        <w:rPr/>
        <w:instrText xml:space="preserve"> SEQ LEVEL6 \* ALPHABETIC </w:instrText>
      </w:r>
      <w:r>
        <w:rPr/>
        <w:fldChar w:fldCharType="separate"/>
      </w:r>
      <w:r>
        <w:rPr/>
        <w:t>A</w:t>
      </w:r>
      <w:r>
        <w:rPr/>
        <w:fldChar w:fldCharType="end"/>
      </w:r>
      <w:r>
        <w:rPr/>
        <w:t>.</w:t>
        <w:tab/>
        <w:t>Except as noted below, the bankruptcy of a non-U.S. counterparty generally will be conducted in accordance with the bankruptcy law of the jurisdiction in which the counterparty is organized.</w:t>
      </w:r>
    </w:p>
    <w:p>
      <w:pPr>
        <w:pStyle w:val="Normal"/>
        <w:spacing w:lineRule="atLeast" w:line="240"/>
        <w:rPr/>
      </w:pPr>
      <w:r>
        <w:rPr/>
      </w:r>
    </w:p>
    <w:p>
      <w:pPr>
        <w:pStyle w:val="Normal"/>
        <w:spacing w:lineRule="atLeast" w:line="240"/>
        <w:ind w:hanging="720" w:start="2160" w:end="0"/>
        <w:rPr/>
      </w:pPr>
      <w:r>
        <w:rPr/>
        <w:fldChar w:fldCharType="begin"/>
      </w:r>
      <w:r>
        <w:rPr/>
        <w:instrText xml:space="preserve"> SEQ level5 \* ARABIC </w:instrText>
      </w:r>
      <w:r>
        <w:rPr/>
        <w:fldChar w:fldCharType="separate"/>
      </w:r>
      <w:r>
        <w:rPr/>
        <w:t>1</w:t>
      </w:r>
      <w:r>
        <w:rPr/>
        <w:fldChar w:fldCharType="end"/>
      </w:r>
      <w:r>
        <w:rPr/>
        <w:t>.</w:t>
        <w:tab/>
        <w:t>This means that when dealing with a non-U.S. counterparty, one should consult with lawyers in the jurisdiction of the organization of that counterparty to confirm that, in the event of the insolvency or bankruptcy of the counterparty, one would, at a minimum, be able to exercise a contractual right to liquidate outstanding contracts with that counterparts and to net the settlement amounts arising from those liquidations.</w:t>
      </w:r>
    </w:p>
    <w:p>
      <w:pPr>
        <w:pStyle w:val="Normal"/>
        <w:spacing w:lineRule="atLeast" w:line="240"/>
        <w:rPr/>
      </w:pPr>
      <w:r>
        <w:rPr/>
      </w:r>
    </w:p>
    <w:p>
      <w:pPr>
        <w:pStyle w:val="Normal"/>
        <w:spacing w:lineRule="atLeast" w:line="240"/>
        <w:ind w:hanging="720" w:start="2160" w:end="0"/>
        <w:rPr/>
      </w:pPr>
      <w:r>
        <w:rPr/>
        <w:fldChar w:fldCharType="begin"/>
      </w:r>
      <w:r>
        <w:rPr/>
        <w:instrText xml:space="preserve"> SEQ level5 \* ARABIC </w:instrText>
      </w:r>
      <w:r>
        <w:rPr/>
        <w:fldChar w:fldCharType="separate"/>
      </w:r>
      <w:r>
        <w:rPr/>
        <w:t>2</w:t>
      </w:r>
      <w:r>
        <w:rPr/>
        <w:fldChar w:fldCharType="end"/>
      </w:r>
      <w:r>
        <w:rPr/>
        <w:t>.</w:t>
        <w:tab/>
        <w:t>If the office of the counterparty with which one transacts business is not located in the jurisdiction in which the counterparty is organized (</w:t>
      </w:r>
      <w:r>
        <w:rPr>
          <w:u w:val="single"/>
        </w:rPr>
        <w:t>e.g.</w:t>
      </w:r>
      <w:r>
        <w:rPr/>
        <w:t>, a branch of a bank located outside of its home country), the law of the jurisdiction in which that office is located may also apply.</w:t>
      </w:r>
    </w:p>
    <w:p>
      <w:pPr>
        <w:pStyle w:val="Normal"/>
        <w:spacing w:lineRule="atLeast" w:line="240"/>
        <w:rPr/>
      </w:pPr>
      <w:r>
        <w:rPr/>
      </w:r>
    </w:p>
    <w:p>
      <w:pPr>
        <w:pStyle w:val="Normal"/>
        <w:spacing w:lineRule="atLeast" w:line="240"/>
        <w:ind w:hanging="720" w:start="2160" w:end="0"/>
        <w:rPr/>
      </w:pPr>
      <w:r>
        <w:rPr/>
        <w:fldChar w:fldCharType="begin"/>
      </w:r>
      <w:r>
        <w:rPr/>
        <w:instrText xml:space="preserve"> SEQ level5 \* ARABIC </w:instrText>
      </w:r>
      <w:r>
        <w:rPr/>
        <w:fldChar w:fldCharType="separate"/>
      </w:r>
      <w:r>
        <w:rPr/>
        <w:t>3</w:t>
      </w:r>
      <w:r>
        <w:rPr/>
        <w:fldChar w:fldCharType="end"/>
      </w:r>
      <w:r>
        <w:rPr/>
        <w:t>.</w:t>
        <w:tab/>
        <w:t>Confirm that margin payments and settlement payments made prior to the commencement of a bankruptcy case would not be subject to avoidance.</w:t>
      </w:r>
    </w:p>
    <w:p>
      <w:pPr>
        <w:pStyle w:val="Normal"/>
        <w:spacing w:lineRule="atLeast" w:line="240"/>
        <w:jc w:val="both"/>
        <w:rPr/>
      </w:pPr>
      <w:r>
        <w:rPr/>
      </w:r>
    </w:p>
    <w:p>
      <w:pPr>
        <w:pStyle w:val="Normal"/>
        <w:spacing w:lineRule="atLeast" w:line="240"/>
        <w:ind w:firstLine="720" w:end="0"/>
        <w:rPr/>
      </w:pPr>
      <w:r>
        <w:rPr/>
        <w:fldChar w:fldCharType="begin"/>
      </w:r>
      <w:r>
        <w:rPr/>
        <w:instrText xml:space="preserve"> SEQ LEVEL6 \* ALPHABETIC </w:instrText>
      </w:r>
      <w:r>
        <w:rPr/>
        <w:fldChar w:fldCharType="separate"/>
      </w:r>
      <w:r>
        <w:rPr/>
        <w:t>B</w:t>
      </w:r>
      <w:r>
        <w:rPr/>
        <w:fldChar w:fldCharType="end"/>
      </w:r>
      <w:r>
        <w:rPr/>
        <w:t>.</w:t>
        <w:tab/>
        <w:t>In certain cases, the U.S. assets of a non-U.S. counterparty that is the subject of a foreign bankruptcy proceeding may become the subject of a proceeding under the Code.</w:t>
      </w:r>
    </w:p>
    <w:p>
      <w:pPr>
        <w:pStyle w:val="Normal"/>
        <w:spacing w:lineRule="atLeast" w:line="240"/>
        <w:rPr/>
      </w:pPr>
      <w:r>
        <w:rPr/>
      </w:r>
    </w:p>
    <w:p>
      <w:pPr>
        <w:pStyle w:val="Normal"/>
        <w:spacing w:lineRule="atLeast" w:line="240"/>
        <w:ind w:hanging="720" w:start="2160" w:end="0"/>
        <w:rPr/>
      </w:pPr>
      <w:r>
        <w:rPr/>
        <w:fldChar w:fldCharType="begin"/>
      </w:r>
      <w:r>
        <w:rPr/>
        <w:instrText xml:space="preserve"> SEQ level5 \* ARABIC </w:instrText>
      </w:r>
      <w:r>
        <w:rPr/>
        <w:fldChar w:fldCharType="separate"/>
      </w:r>
      <w:r>
        <w:rPr/>
        <w:t>1</w:t>
      </w:r>
      <w:r>
        <w:rPr/>
        <w:fldChar w:fldCharType="end"/>
      </w:r>
      <w:r>
        <w:rPr/>
        <w:t>.</w:t>
        <w:tab/>
        <w:t>In such a case, the Code provisions discussed above would be applicable to such assets.</w:t>
      </w:r>
    </w:p>
    <w:p>
      <w:pPr>
        <w:pStyle w:val="Normal"/>
        <w:spacing w:lineRule="atLeast" w:line="240"/>
        <w:ind w:hanging="720" w:start="2160" w:end="0"/>
        <w:rPr/>
      </w:pPr>
      <w:r>
        <w:rPr/>
      </w:r>
    </w:p>
    <w:p>
      <w:pPr>
        <w:pStyle w:val="Normal"/>
        <w:spacing w:lineRule="atLeast" w:line="240"/>
        <w:ind w:hanging="720" w:start="2160" w:end="0"/>
        <w:rPr/>
      </w:pPr>
      <w:r>
        <w:rPr/>
        <w:fldChar w:fldCharType="begin"/>
      </w:r>
      <w:r>
        <w:rPr/>
        <w:instrText xml:space="preserve"> SEQ level5 \* ARABIC </w:instrText>
      </w:r>
      <w:r>
        <w:rPr/>
        <w:fldChar w:fldCharType="separate"/>
      </w:r>
      <w:r>
        <w:rPr/>
        <w:t>2</w:t>
      </w:r>
      <w:r>
        <w:rPr/>
        <w:fldChar w:fldCharType="end"/>
      </w:r>
      <w:r>
        <w:rPr/>
        <w:t>.</w:t>
        <w:tab/>
        <w:t>Such a situation could arise, for example, with respect to an offshore fund that has most of its assets in the U.S.</w:t>
      </w:r>
    </w:p>
    <w:p>
      <w:pPr>
        <w:pStyle w:val="Normal"/>
        <w:spacing w:lineRule="atLeast" w:line="240"/>
        <w:jc w:val="both"/>
        <w:rPr/>
      </w:pPr>
      <w:r>
        <w:rPr/>
      </w:r>
    </w:p>
    <w:p>
      <w:pPr>
        <w:pStyle w:val="Normal"/>
        <w:spacing w:lineRule="atLeast" w:line="240"/>
        <w:jc w:val="both"/>
        <w:rPr/>
      </w:pPr>
      <w:r>
        <w:rPr/>
      </w:r>
    </w:p>
    <w:p>
      <w:pPr>
        <w:pStyle w:val="Normal"/>
        <w:spacing w:lineRule="atLeast" w:line="240"/>
        <w:jc w:val="both"/>
        <w:rPr/>
      </w:pPr>
      <w:r>
        <w:rPr>
          <w:b/>
          <w:bCs/>
          <w:spacing w:val="-3"/>
        </w:rPr>
        <w:fldChar w:fldCharType="begin"/>
      </w:r>
      <w:r>
        <w:rPr>
          <w:spacing w:val="-3"/>
          <w:b/>
          <w:bCs/>
        </w:rPr>
        <w:instrText xml:space="preserve"> SEQ level0 \* ROMAN </w:instrText>
      </w:r>
      <w:r>
        <w:rPr>
          <w:spacing w:val="-3"/>
          <w:b/>
          <w:bCs/>
        </w:rPr>
        <w:fldChar w:fldCharType="separate"/>
      </w:r>
      <w:r>
        <w:rPr>
          <w:spacing w:val="-3"/>
          <w:b/>
          <w:bCs/>
        </w:rPr>
        <w:t>VIII</w:t>
      </w:r>
      <w:r>
        <w:rPr>
          <w:spacing w:val="-3"/>
          <w:b/>
          <w:bCs/>
        </w:rPr>
        <w:fldChar w:fldCharType="end"/>
      </w:r>
      <w:r>
        <w:rPr>
          <w:b/>
          <w:bCs/>
        </w:rPr>
        <w:t>.</w:t>
        <w:tab/>
        <w:t>CROSS-MARGINING</w:t>
      </w:r>
    </w:p>
    <w:p>
      <w:pPr>
        <w:pStyle w:val="Normal"/>
        <w:spacing w:lineRule="atLeast" w:line="240"/>
        <w:rPr>
          <w:b/>
          <w:bCs/>
        </w:rPr>
      </w:pPr>
      <w:r>
        <w:rPr>
          <w:b/>
          <w:bCs/>
        </w:rPr>
      </w:r>
    </w:p>
    <w:p>
      <w:pPr>
        <w:pStyle w:val="Normal"/>
        <w:spacing w:lineRule="atLeast" w:line="240"/>
        <w:ind w:firstLine="720" w:end="0"/>
        <w:rPr/>
      </w:pPr>
      <w:r>
        <w:rPr/>
        <w:fldChar w:fldCharType="begin"/>
      </w:r>
      <w:r>
        <w:rPr/>
        <w:instrText xml:space="preserve"> SEQ LEVEL6 \* ALPHABETIC </w:instrText>
      </w:r>
      <w:r>
        <w:rPr/>
        <w:fldChar w:fldCharType="separate"/>
      </w:r>
      <w:r>
        <w:rPr/>
        <w:t>A</w:t>
      </w:r>
      <w:r>
        <w:rPr/>
        <w:fldChar w:fldCharType="end"/>
      </w:r>
      <w:r>
        <w:rPr/>
        <w:t>.</w:t>
        <w:tab/>
        <w:t>In addition to its special provisions for forward contracts and swap agreements, the Code has separate, but similar, regimes for repurchase agreements, securities contracts and commodity contracts (</w:t>
      </w:r>
      <w:r>
        <w:rPr>
          <w:u w:val="single"/>
        </w:rPr>
        <w:t>i.e.</w:t>
      </w:r>
      <w:r>
        <w:rPr/>
        <w:t>, futures contracts).</w:t>
      </w:r>
    </w:p>
    <w:p>
      <w:pPr>
        <w:pStyle w:val="Normal"/>
        <w:spacing w:lineRule="atLeast" w:line="240"/>
        <w:rPr/>
      </w:pPr>
      <w:r>
        <w:rPr/>
      </w:r>
    </w:p>
    <w:p>
      <w:pPr>
        <w:pStyle w:val="Normal"/>
        <w:spacing w:lineRule="atLeast" w:line="240"/>
        <w:ind w:firstLine="720" w:end="0"/>
        <w:rPr/>
      </w:pPr>
      <w:r>
        <w:rPr/>
        <w:fldChar w:fldCharType="begin"/>
      </w:r>
      <w:r>
        <w:rPr/>
        <w:instrText xml:space="preserve"> SEQ LEVEL6 \* ALPHABETIC </w:instrText>
      </w:r>
      <w:r>
        <w:rPr/>
        <w:fldChar w:fldCharType="separate"/>
      </w:r>
      <w:r>
        <w:rPr/>
        <w:t>B</w:t>
      </w:r>
      <w:r>
        <w:rPr/>
        <w:fldChar w:fldCharType="end"/>
      </w:r>
      <w:r>
        <w:rPr/>
        <w:t>.</w:t>
        <w:tab/>
        <w:t>There is some overlap among these separate regimes.  For example, as discussed above, certain swap agreements also qualify as forward contracts.</w:t>
      </w:r>
    </w:p>
    <w:p>
      <w:pPr>
        <w:pStyle w:val="Normal"/>
        <w:spacing w:lineRule="atLeast" w:line="240"/>
        <w:rPr/>
      </w:pPr>
      <w:r>
        <w:rPr/>
      </w:r>
    </w:p>
    <w:p>
      <w:pPr>
        <w:pStyle w:val="Normal"/>
        <w:spacing w:lineRule="atLeast" w:line="240"/>
        <w:ind w:firstLine="720" w:end="0"/>
        <w:rPr/>
      </w:pPr>
      <w:r>
        <w:rPr/>
        <w:fldChar w:fldCharType="begin"/>
      </w:r>
      <w:r>
        <w:rPr/>
        <w:instrText xml:space="preserve"> SEQ LEVEL6 \* ALPHABETIC </w:instrText>
      </w:r>
      <w:r>
        <w:rPr/>
        <w:fldChar w:fldCharType="separate"/>
      </w:r>
      <w:r>
        <w:rPr/>
        <w:t>C</w:t>
      </w:r>
      <w:r>
        <w:rPr/>
        <w:fldChar w:fldCharType="end"/>
      </w:r>
      <w:r>
        <w:rPr/>
        <w:t>.</w:t>
        <w:tab/>
        <w:t>From a cross-margining perspective, however, problems can arise from the fact that the Code does not necessarily permit an exposure arising under one type of agreement to be offset against an exposure arising under another type of agreement.</w:t>
      </w:r>
    </w:p>
    <w:p>
      <w:pPr>
        <w:pStyle w:val="Normal"/>
        <w:spacing w:lineRule="atLeast" w:line="240"/>
        <w:rPr/>
      </w:pPr>
      <w:r>
        <w:rPr/>
      </w:r>
    </w:p>
    <w:p>
      <w:pPr>
        <w:pStyle w:val="Normal"/>
        <w:spacing w:lineRule="atLeast" w:line="240"/>
        <w:ind w:hanging="720" w:start="2160" w:end="0"/>
        <w:rPr/>
      </w:pPr>
      <w:r>
        <w:rPr/>
        <w:fldChar w:fldCharType="begin"/>
      </w:r>
      <w:r>
        <w:rPr/>
        <w:instrText xml:space="preserve"> SEQ level5 \* ARABIC </w:instrText>
      </w:r>
      <w:r>
        <w:rPr/>
        <w:fldChar w:fldCharType="separate"/>
      </w:r>
      <w:r>
        <w:rPr/>
        <w:t>1</w:t>
      </w:r>
      <w:r>
        <w:rPr/>
        <w:fldChar w:fldCharType="end"/>
      </w:r>
      <w:r>
        <w:rPr/>
        <w:t>.</w:t>
        <w:tab/>
        <w:t>Thus, for example, the automatic stay would bar the immediate setoff of a swap agreement exposure against an exposure on a futures contract or securities contract.</w:t>
      </w:r>
    </w:p>
    <w:p>
      <w:pPr>
        <w:pStyle w:val="Normal"/>
        <w:spacing w:lineRule="atLeast" w:line="240"/>
        <w:rPr/>
      </w:pPr>
      <w:r>
        <w:rPr/>
      </w:r>
    </w:p>
    <w:p>
      <w:pPr>
        <w:pStyle w:val="Normal"/>
        <w:spacing w:lineRule="atLeast" w:line="240"/>
        <w:ind w:hanging="720" w:start="2160" w:end="0"/>
        <w:rPr/>
      </w:pPr>
      <w:r>
        <w:rPr/>
        <w:fldChar w:fldCharType="begin"/>
      </w:r>
      <w:r>
        <w:rPr/>
        <w:instrText xml:space="preserve"> SEQ level5 \* ARABIC </w:instrText>
      </w:r>
      <w:r>
        <w:rPr/>
        <w:fldChar w:fldCharType="separate"/>
      </w:r>
      <w:r>
        <w:rPr/>
        <w:t>2</w:t>
      </w:r>
      <w:r>
        <w:rPr/>
        <w:fldChar w:fldCharType="end"/>
      </w:r>
      <w:r>
        <w:rPr/>
        <w:t>.</w:t>
        <w:tab/>
        <w:t xml:space="preserve">In contrast, however, section 362(b)(6) would appear to permit a forward contract exposure to be set off against exposures arising under futures contracts and securities contracts. </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576" w:top="1440" w:footer="288" w:bottom="72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Felix Titling">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szCs w:val="16"/>
      </w:rPr>
      <w:t>-</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8</w:t>
    </w:r>
    <w:r>
      <w:rPr>
        <w:rStyle w:val="PageNumber"/>
        <w:sz w:val="16"/>
        <w:szCs w:val="16"/>
      </w:rPr>
      <w:fldChar w:fldCharType="end"/>
    </w:r>
    <w:r>
      <w:rPr>
        <w:rStyle w:val="PageNumber"/>
        <w:sz w:val="16"/>
        <w:szCs w:val="16"/>
      </w:rPr>
      <w:t>-</w:t>
    </w:r>
  </w:p>
  <w:p>
    <w:pPr>
      <w:pStyle w:val="Footer"/>
      <w:rPr>
        <w:rStyle w:val="PageNumber"/>
        <w:sz w:val="16"/>
        <w:szCs w:val="16"/>
      </w:rPr>
    </w:pPr>
    <w:r>
      <w:rPr/>
    </w:r>
  </w:p>
  <w:p>
    <w:pPr>
      <w:pStyle w:val="Footer"/>
      <w:rPr>
        <w:rStyle w:val="PageNumber"/>
        <w:sz w:val="16"/>
        <w:szCs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520" w:type="dxa"/>
      <w:jc w:val="start"/>
      <w:tblInd w:w="-979" w:type="dxa"/>
      <w:tblLayout w:type="fixed"/>
      <w:tblCellMar>
        <w:top w:w="0" w:type="dxa"/>
        <w:start w:w="108" w:type="dxa"/>
        <w:bottom w:w="0" w:type="dxa"/>
        <w:end w:w="108" w:type="dxa"/>
      </w:tblCellMar>
    </w:tblPr>
    <w:tblGrid>
      <w:gridCol w:w="2304"/>
      <w:gridCol w:w="2304"/>
      <w:gridCol w:w="2304"/>
      <w:gridCol w:w="2304"/>
      <w:gridCol w:w="2304"/>
    </w:tblGrid>
    <w:tr>
      <w:trPr/>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rPr>
              <w:rFonts w:ascii="Felix Titling" w:hAnsi="Felix Titling" w:eastAsia="Felix Titling" w:cs="Felix Titling"/>
              <w:smallCaps/>
              <w:sz w:val="15"/>
              <w:szCs w:val="15"/>
            </w:rPr>
          </w:pPr>
          <w:r>
            <w:rPr>
              <w:rFonts w:eastAsia="Felix Titling" w:cs="Felix Titling" w:ascii="Felix Titling" w:hAnsi="Felix Titling"/>
              <w:smallCaps/>
              <w:sz w:val="15"/>
              <w:szCs w:val="15"/>
            </w:rPr>
            <w:t>100 Federal Street</w:t>
          </w:r>
        </w:p>
      </w:tc>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rPr/>
          </w:pPr>
          <w:r>
            <w:rPr>
              <w:smallCaps/>
              <w:sz w:val="15"/>
              <w:szCs w:val="15"/>
            </w:rPr>
            <w:t>RÁkóczi</w:t>
          </w:r>
          <w:r>
            <w:rPr>
              <w:rFonts w:eastAsia="Felix Titling" w:cs="Felix Titling" w:ascii="Felix Titling" w:hAnsi="Felix Titling"/>
              <w:smallCaps/>
              <w:sz w:val="15"/>
              <w:szCs w:val="15"/>
            </w:rPr>
            <w:t xml:space="preserve"> ÚT 1-3</w:t>
          </w:r>
        </w:p>
      </w:tc>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rPr>
              <w:rFonts w:ascii="Felix Titling" w:hAnsi="Felix Titling" w:eastAsia="Felix Titling" w:cs="Felix Titling"/>
              <w:smallCaps/>
              <w:sz w:val="15"/>
              <w:szCs w:val="15"/>
            </w:rPr>
          </w:pPr>
          <w:r>
            <w:rPr>
              <w:rFonts w:eastAsia="Felix Titling" w:cs="Felix Titling" w:ascii="Felix Titling" w:hAnsi="Felix Titling"/>
              <w:smallCaps/>
              <w:sz w:val="15"/>
              <w:szCs w:val="15"/>
            </w:rPr>
            <w:t>2029 Century Park East</w:t>
          </w:r>
        </w:p>
      </w:tc>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rPr>
              <w:rFonts w:ascii="Felix Titling" w:hAnsi="Felix Titling" w:eastAsia="Felix Titling" w:cs="Felix Titling"/>
              <w:smallCaps/>
              <w:sz w:val="15"/>
              <w:szCs w:val="15"/>
            </w:rPr>
          </w:pPr>
          <w:r>
            <w:rPr>
              <w:rFonts w:eastAsia="Felix Titling" w:cs="Felix Titling" w:ascii="Felix Titling" w:hAnsi="Felix Titling"/>
              <w:smallCaps/>
              <w:sz w:val="15"/>
              <w:szCs w:val="15"/>
            </w:rPr>
            <w:t>200 South Biscayne Blvd</w:t>
          </w:r>
        </w:p>
      </w:tc>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rPr>
              <w:rFonts w:ascii="Felix Titling" w:hAnsi="Felix Titling" w:eastAsia="Felix Titling" w:cs="Felix Titling"/>
              <w:smallCaps/>
              <w:sz w:val="15"/>
              <w:szCs w:val="15"/>
            </w:rPr>
          </w:pPr>
          <w:r>
            <w:rPr>
              <w:rFonts w:eastAsia="Felix Titling" w:cs="Felix Titling" w:ascii="Felix Titling" w:hAnsi="Felix Titling"/>
              <w:smallCaps/>
              <w:sz w:val="15"/>
              <w:szCs w:val="15"/>
            </w:rPr>
            <w:t>1150 Seventeenth Street, NW</w:t>
          </w:r>
        </w:p>
      </w:tc>
    </w:tr>
    <w:tr>
      <w:trPr/>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rPr>
              <w:rFonts w:ascii="Felix Titling" w:hAnsi="Felix Titling" w:eastAsia="Felix Titling" w:cs="Felix Titling"/>
              <w:smallCaps/>
              <w:sz w:val="15"/>
              <w:szCs w:val="15"/>
            </w:rPr>
          </w:pPr>
          <w:r>
            <w:rPr>
              <w:rFonts w:eastAsia="Felix Titling" w:cs="Felix Titling" w:ascii="Felix Titling" w:hAnsi="Felix Titling"/>
              <w:smallCaps/>
              <w:sz w:val="15"/>
              <w:szCs w:val="15"/>
            </w:rPr>
            <w:t>Boston, MA 02110</w:t>
          </w:r>
        </w:p>
      </w:tc>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rPr>
              <w:rFonts w:ascii="Felix Titling" w:hAnsi="Felix Titling" w:eastAsia="Felix Titling" w:cs="Felix Titling"/>
              <w:smallCaps/>
              <w:sz w:val="15"/>
              <w:szCs w:val="15"/>
            </w:rPr>
          </w:pPr>
          <w:r>
            <w:rPr>
              <w:rFonts w:eastAsia="Felix Titling" w:cs="Felix Titling" w:ascii="Felix Titling" w:hAnsi="Felix Titling"/>
              <w:smallCaps/>
              <w:sz w:val="15"/>
              <w:szCs w:val="15"/>
            </w:rPr>
            <w:t>H-1088 Budapest, Hungary</w:t>
          </w:r>
        </w:p>
      </w:tc>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rPr>
              <w:rFonts w:ascii="Felix Titling" w:hAnsi="Felix Titling" w:eastAsia="Felix Titling" w:cs="Felix Titling"/>
              <w:smallCaps/>
              <w:sz w:val="15"/>
              <w:szCs w:val="15"/>
            </w:rPr>
          </w:pPr>
          <w:r>
            <w:rPr>
              <w:rFonts w:eastAsia="Felix Titling" w:cs="Felix Titling" w:ascii="Felix Titling" w:hAnsi="Felix Titling"/>
              <w:smallCaps/>
              <w:sz w:val="15"/>
              <w:szCs w:val="15"/>
            </w:rPr>
            <w:t>Los Angeles, CA 90067</w:t>
          </w:r>
        </w:p>
      </w:tc>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rPr>
              <w:rFonts w:ascii="Felix Titling" w:hAnsi="Felix Titling" w:eastAsia="Felix Titling" w:cs="Felix Titling"/>
              <w:smallCaps/>
              <w:sz w:val="15"/>
              <w:szCs w:val="15"/>
            </w:rPr>
          </w:pPr>
          <w:r>
            <w:rPr>
              <w:rFonts w:eastAsia="Felix Titling" w:cs="Felix Titling" w:ascii="Felix Titling" w:hAnsi="Felix Titling"/>
              <w:smallCaps/>
              <w:sz w:val="15"/>
              <w:szCs w:val="15"/>
            </w:rPr>
            <w:t>Miami, FL 33131</w:t>
          </w:r>
        </w:p>
      </w:tc>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rPr>
              <w:rFonts w:ascii="Felix Titling" w:hAnsi="Felix Titling" w:eastAsia="Felix Titling" w:cs="Felix Titling"/>
              <w:smallCaps/>
              <w:sz w:val="15"/>
              <w:szCs w:val="15"/>
            </w:rPr>
          </w:pPr>
          <w:r>
            <w:rPr>
              <w:rFonts w:eastAsia="Felix Titling" w:cs="Felix Titling" w:ascii="Felix Titling" w:hAnsi="Felix Titling"/>
              <w:smallCaps/>
              <w:sz w:val="15"/>
              <w:szCs w:val="15"/>
            </w:rPr>
            <w:t>Washington, D.C. 20036</w:t>
          </w:r>
        </w:p>
      </w:tc>
    </w:tr>
    <w:tr>
      <w:trPr/>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snapToGrid w:val="false"/>
            <w:rPr>
              <w:rFonts w:ascii="Felix Titling" w:hAnsi="Felix Titling" w:eastAsia="Felix Titling" w:cs="Felix Titling"/>
              <w:smallCaps/>
              <w:sz w:val="15"/>
              <w:szCs w:val="15"/>
            </w:rPr>
          </w:pPr>
          <w:r>
            <w:rPr>
              <w:rFonts w:eastAsia="Felix Titling" w:cs="Felix Titling" w:ascii="Felix Titling" w:hAnsi="Felix Titling"/>
              <w:smallCaps/>
              <w:sz w:val="15"/>
              <w:szCs w:val="15"/>
            </w:rPr>
          </w:r>
        </w:p>
      </w:tc>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snapToGrid w:val="false"/>
            <w:rPr>
              <w:rFonts w:ascii="Felix Titling" w:hAnsi="Felix Titling" w:eastAsia="Felix Titling" w:cs="Felix Titling"/>
              <w:smallCaps/>
              <w:sz w:val="15"/>
              <w:szCs w:val="15"/>
            </w:rPr>
          </w:pPr>
          <w:r>
            <w:rPr>
              <w:rFonts w:eastAsia="Felix Titling" w:cs="Felix Titling" w:ascii="Felix Titling" w:hAnsi="Felix Titling"/>
              <w:smallCaps/>
              <w:sz w:val="15"/>
              <w:szCs w:val="15"/>
            </w:rPr>
          </w:r>
        </w:p>
      </w:tc>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snapToGrid w:val="false"/>
            <w:rPr>
              <w:rFonts w:ascii="Felix Titling" w:hAnsi="Felix Titling" w:eastAsia="Felix Titling" w:cs="Felix Titling"/>
              <w:smallCaps/>
              <w:sz w:val="15"/>
              <w:szCs w:val="15"/>
            </w:rPr>
          </w:pPr>
          <w:r>
            <w:rPr>
              <w:rFonts w:eastAsia="Felix Titling" w:cs="Felix Titling" w:ascii="Felix Titling" w:hAnsi="Felix Titling"/>
              <w:smallCaps/>
              <w:sz w:val="15"/>
              <w:szCs w:val="15"/>
            </w:rPr>
          </w:r>
        </w:p>
      </w:tc>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snapToGrid w:val="false"/>
            <w:rPr>
              <w:rFonts w:ascii="Felix Titling" w:hAnsi="Felix Titling" w:eastAsia="Felix Titling" w:cs="Felix Titling"/>
              <w:smallCaps/>
              <w:sz w:val="15"/>
              <w:szCs w:val="15"/>
            </w:rPr>
          </w:pPr>
          <w:r>
            <w:rPr>
              <w:rFonts w:eastAsia="Felix Titling" w:cs="Felix Titling" w:ascii="Felix Titling" w:hAnsi="Felix Titling"/>
              <w:smallCaps/>
              <w:sz w:val="15"/>
              <w:szCs w:val="15"/>
            </w:rPr>
          </w:r>
        </w:p>
      </w:tc>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snapToGrid w:val="false"/>
            <w:rPr>
              <w:rFonts w:ascii="Felix Titling" w:hAnsi="Felix Titling" w:eastAsia="Felix Titling" w:cs="Felix Titling"/>
              <w:smallCaps/>
              <w:sz w:val="15"/>
              <w:szCs w:val="15"/>
            </w:rPr>
          </w:pPr>
          <w:r>
            <w:rPr>
              <w:rFonts w:eastAsia="Felix Titling" w:cs="Felix Titling" w:ascii="Felix Titling" w:hAnsi="Felix Titling"/>
              <w:smallCaps/>
              <w:sz w:val="15"/>
              <w:szCs w:val="15"/>
            </w:rPr>
          </w:r>
        </w:p>
      </w:tc>
    </w:tr>
    <w:tr>
      <w:trPr/>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rPr>
              <w:rFonts w:ascii="Felix Titling" w:hAnsi="Felix Titling" w:eastAsia="Felix Titling" w:cs="Felix Titling"/>
              <w:smallCaps/>
              <w:sz w:val="15"/>
              <w:szCs w:val="15"/>
            </w:rPr>
          </w:pPr>
          <w:r>
            <w:rPr>
              <w:rFonts w:eastAsia="Felix Titling" w:cs="Felix Titling" w:ascii="Felix Titling" w:hAnsi="Felix Titling"/>
              <w:smallCaps/>
              <w:sz w:val="15"/>
              <w:szCs w:val="15"/>
            </w:rPr>
            <w:t>Phone 617-482-6800</w:t>
          </w:r>
        </w:p>
      </w:tc>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rPr>
              <w:rFonts w:ascii="Felix Titling" w:hAnsi="Felix Titling" w:eastAsia="Felix Titling" w:cs="Felix Titling"/>
              <w:smallCaps/>
              <w:sz w:val="15"/>
              <w:szCs w:val="15"/>
            </w:rPr>
          </w:pPr>
          <w:r>
            <w:rPr>
              <w:rFonts w:eastAsia="Felix Titling" w:cs="Felix Titling" w:ascii="Felix Titling" w:hAnsi="Felix Titling"/>
              <w:smallCaps/>
              <w:sz w:val="15"/>
              <w:szCs w:val="15"/>
            </w:rPr>
            <w:t>Phone 361-266-9520</w:t>
          </w:r>
        </w:p>
      </w:tc>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rPr>
              <w:rFonts w:ascii="Felix Titling" w:hAnsi="Felix Titling" w:eastAsia="Felix Titling" w:cs="Felix Titling"/>
              <w:smallCaps/>
              <w:sz w:val="15"/>
              <w:szCs w:val="15"/>
            </w:rPr>
          </w:pPr>
          <w:r>
            <w:rPr>
              <w:rFonts w:eastAsia="Felix Titling" w:cs="Felix Titling" w:ascii="Felix Titling" w:hAnsi="Felix Titling"/>
              <w:smallCaps/>
              <w:sz w:val="15"/>
              <w:szCs w:val="15"/>
            </w:rPr>
            <w:t>Phone 310-556-5800</w:t>
          </w:r>
        </w:p>
      </w:tc>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rPr>
              <w:rFonts w:ascii="Felix Titling" w:hAnsi="Felix Titling" w:eastAsia="Felix Titling" w:cs="Felix Titling"/>
              <w:smallCaps/>
              <w:sz w:val="15"/>
              <w:szCs w:val="15"/>
            </w:rPr>
          </w:pPr>
          <w:r>
            <w:rPr>
              <w:rFonts w:eastAsia="Felix Titling" w:cs="Felix Titling" w:ascii="Felix Titling" w:hAnsi="Felix Titling"/>
              <w:smallCaps/>
              <w:sz w:val="15"/>
              <w:szCs w:val="15"/>
            </w:rPr>
            <w:t>Phone 305-358-9900</w:t>
          </w:r>
        </w:p>
      </w:tc>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rPr>
              <w:rFonts w:ascii="Felix Titling" w:hAnsi="Felix Titling" w:eastAsia="Felix Titling" w:cs="Felix Titling"/>
              <w:smallCaps/>
              <w:sz w:val="15"/>
              <w:szCs w:val="15"/>
            </w:rPr>
          </w:pPr>
          <w:r>
            <w:rPr>
              <w:rFonts w:eastAsia="Felix Titling" w:cs="Felix Titling" w:ascii="Felix Titling" w:hAnsi="Felix Titling"/>
              <w:smallCaps/>
              <w:sz w:val="15"/>
              <w:szCs w:val="15"/>
            </w:rPr>
            <w:t>Phone 202-452-9250</w:t>
          </w:r>
        </w:p>
      </w:tc>
    </w:tr>
    <w:tr>
      <w:trPr/>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rPr>
              <w:rFonts w:ascii="Felix Titling" w:hAnsi="Felix Titling" w:eastAsia="Felix Titling" w:cs="Felix Titling"/>
              <w:smallCaps/>
              <w:sz w:val="15"/>
              <w:szCs w:val="15"/>
            </w:rPr>
          </w:pPr>
          <w:r>
            <w:rPr>
              <w:rFonts w:eastAsia="Felix Titling" w:cs="Felix Titling" w:ascii="Felix Titling" w:hAnsi="Felix Titling"/>
              <w:smallCaps/>
              <w:sz w:val="15"/>
              <w:szCs w:val="15"/>
            </w:rPr>
            <w:t>Fax 617-330-5111</w:t>
          </w:r>
        </w:p>
      </w:tc>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rPr>
              <w:rFonts w:ascii="Felix Titling" w:hAnsi="Felix Titling" w:eastAsia="Felix Titling" w:cs="Felix Titling"/>
              <w:smallCaps/>
              <w:sz w:val="15"/>
              <w:szCs w:val="15"/>
            </w:rPr>
          </w:pPr>
          <w:r>
            <w:rPr>
              <w:rFonts w:eastAsia="Felix Titling" w:cs="Felix Titling" w:ascii="Felix Titling" w:hAnsi="Felix Titling"/>
              <w:smallCaps/>
              <w:sz w:val="15"/>
              <w:szCs w:val="15"/>
            </w:rPr>
            <w:t>Fax 361-266-9279</w:t>
          </w:r>
        </w:p>
      </w:tc>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rPr>
              <w:rFonts w:ascii="Felix Titling" w:hAnsi="Felix Titling" w:eastAsia="Felix Titling" w:cs="Felix Titling"/>
              <w:smallCaps/>
              <w:sz w:val="15"/>
              <w:szCs w:val="15"/>
            </w:rPr>
          </w:pPr>
          <w:r>
            <w:rPr>
              <w:rFonts w:eastAsia="Felix Titling" w:cs="Felix Titling" w:ascii="Felix Titling" w:hAnsi="Felix Titling"/>
              <w:smallCaps/>
              <w:sz w:val="15"/>
              <w:szCs w:val="15"/>
            </w:rPr>
            <w:t>Fax 310-556-5959</w:t>
          </w:r>
        </w:p>
      </w:tc>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rPr>
              <w:rFonts w:ascii="Felix Titling" w:hAnsi="Felix Titling" w:eastAsia="Felix Titling" w:cs="Felix Titling"/>
              <w:smallCaps/>
              <w:sz w:val="15"/>
              <w:szCs w:val="15"/>
            </w:rPr>
          </w:pPr>
          <w:r>
            <w:rPr>
              <w:rFonts w:eastAsia="Felix Titling" w:cs="Felix Titling" w:ascii="Felix Titling" w:hAnsi="Felix Titling"/>
              <w:smallCaps/>
              <w:sz w:val="15"/>
              <w:szCs w:val="15"/>
            </w:rPr>
            <w:t>Fax 305-789-9302</w:t>
          </w:r>
        </w:p>
      </w:tc>
      <w:tc>
        <w:tcPr>
          <w:tcW w:w="2304" w:type="dxa"/>
          <w:tcBorders>
            <w:top w:val="dashed" w:sz="6" w:space="0" w:color="auto"/>
            <w:start w:val="dashed" w:sz="6" w:space="0" w:color="auto"/>
            <w:bottom w:val="dashed" w:sz="6" w:space="0" w:color="auto"/>
            <w:end w:val="dashed" w:sz="6" w:space="0" w:color="auto"/>
          </w:tcBorders>
        </w:tcPr>
        <w:p>
          <w:pPr>
            <w:pStyle w:val="Footer"/>
            <w:tabs>
              <w:tab w:val="clear" w:pos="4320"/>
              <w:tab w:val="clear" w:pos="8640"/>
            </w:tabs>
            <w:rPr>
              <w:rFonts w:ascii="Felix Titling" w:hAnsi="Felix Titling" w:eastAsia="Felix Titling" w:cs="Felix Titling"/>
              <w:smallCaps/>
              <w:sz w:val="15"/>
              <w:szCs w:val="15"/>
            </w:rPr>
          </w:pPr>
          <w:r>
            <w:rPr>
              <w:rFonts w:eastAsia="Felix Titling" w:cs="Felix Titling" w:ascii="Felix Titling" w:hAnsi="Felix Titling"/>
              <w:smallCaps/>
              <w:sz w:val="15"/>
              <w:szCs w:val="15"/>
            </w:rPr>
            <w:t>Fax 202-293-2293</w:t>
          </w:r>
        </w:p>
      </w:tc>
    </w:tr>
  </w:tbl>
  <w:p>
    <w:pPr>
      <w:pStyle w:val="Normal"/>
      <w:rPr/>
    </w:pPr>
    <w:r>
      <w:rPr/>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120" w:after="0"/>
        <w:ind w:hanging="720" w:start="720" w:end="0"/>
        <w:rPr/>
      </w:pPr>
      <w:r>
        <w:rPr>
          <w:rStyle w:val="FootnoteCharacters"/>
        </w:rPr>
        <w:footnoteRef/>
      </w:r>
      <w:r>
        <w:rPr/>
        <w:t xml:space="preserve"> </w:t>
      </w:r>
      <w:r>
        <w:rPr/>
        <w:tab/>
        <w:t>This outline is intended to serve as the basis of an oral presentation and is not intended to provide legal advice.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Felix Titling" w:hAnsi="Felix Titling" w:eastAsia="Felix Titling" w:cs="Felix Titling"/>
        <w:sz w:val="32"/>
        <w:szCs w:val="32"/>
      </w:rPr>
    </w:pPr>
    <w:r>
      <w:rPr>
        <w:rFonts w:eastAsia="Felix Titling" w:cs="Felix Titling" w:ascii="Felix Titling" w:hAnsi="Felix Titling"/>
        <w:sz w:val="48"/>
        <w:szCs w:val="48"/>
      </w:rPr>
      <w:t>S</w:t>
    </w:r>
    <w:r>
      <w:rPr>
        <w:rFonts w:eastAsia="Felix Titling" w:cs="Felix Titling" w:ascii="Felix Titling" w:hAnsi="Felix Titling"/>
        <w:sz w:val="40"/>
        <w:szCs w:val="40"/>
      </w:rPr>
      <w:t xml:space="preserve">troock &amp; </w:t>
    </w:r>
    <w:r>
      <w:rPr>
        <w:rFonts w:eastAsia="Felix Titling" w:cs="Felix Titling" w:ascii="Felix Titling" w:hAnsi="Felix Titling"/>
        <w:sz w:val="48"/>
        <w:szCs w:val="48"/>
      </w:rPr>
      <w:t>S</w:t>
    </w:r>
    <w:r>
      <w:rPr>
        <w:rFonts w:eastAsia="Felix Titling" w:cs="Felix Titling" w:ascii="Felix Titling" w:hAnsi="Felix Titling"/>
        <w:sz w:val="40"/>
        <w:szCs w:val="40"/>
      </w:rPr>
      <w:t xml:space="preserve">troock &amp; </w:t>
    </w:r>
    <w:r>
      <w:rPr>
        <w:rFonts w:eastAsia="Felix Titling" w:cs="Felix Titling" w:ascii="Felix Titling" w:hAnsi="Felix Titling"/>
        <w:sz w:val="48"/>
        <w:szCs w:val="48"/>
      </w:rPr>
      <w:t>L</w:t>
    </w:r>
    <w:r>
      <w:rPr>
        <w:rFonts w:eastAsia="Felix Titling" w:cs="Felix Titling" w:ascii="Felix Titling" w:hAnsi="Felix Titling"/>
        <w:sz w:val="40"/>
        <w:szCs w:val="40"/>
      </w:rPr>
      <w:t xml:space="preserve">avan </w:t>
    </w:r>
    <w:r>
      <w:rPr>
        <w:rFonts w:eastAsia="Felix Titling" w:cs="Felix Titling" w:ascii="Felix Titling" w:hAnsi="Felix Titling"/>
      </w:rPr>
      <w:t>LLP</w:t>
    </w:r>
  </w:p>
  <w:p>
    <w:pPr>
      <w:pStyle w:val="Normal"/>
      <w:jc w:val="center"/>
      <w:rPr>
        <w:rFonts w:ascii="Felix Titling" w:hAnsi="Felix Titling" w:eastAsia="Felix Titling" w:cs="Felix Titling"/>
        <w:sz w:val="32"/>
        <w:szCs w:val="32"/>
      </w:rPr>
    </w:pPr>
    <w:r>
      <w:rPr>
        <w:rFonts w:eastAsia="Felix Titling" w:cs="Felix Titling" w:ascii="Felix Titling" w:hAnsi="Felix Titling"/>
        <w:sz w:val="32"/>
        <w:szCs w:val="32"/>
      </w:rPr>
    </w:r>
  </w:p>
  <w:p>
    <w:pPr>
      <w:pStyle w:val="Normal"/>
      <w:jc w:val="center"/>
      <w:rPr>
        <w:rFonts w:ascii="Felix Titling" w:hAnsi="Felix Titling" w:eastAsia="Felix Titling" w:cs="Felix Titling"/>
        <w:smallCaps/>
      </w:rPr>
    </w:pPr>
    <w:r>
      <w:rPr>
        <w:rFonts w:eastAsia="Felix Titling" w:cs="Felix Titling" w:ascii="Felix Titling" w:hAnsi="Felix Titling"/>
        <w:smallCaps/>
      </w:rPr>
      <w:t>180 Maiden Lane</w:t>
    </w:r>
  </w:p>
  <w:p>
    <w:pPr>
      <w:pStyle w:val="Normal"/>
      <w:jc w:val="center"/>
      <w:rPr>
        <w:rFonts w:ascii="Felix Titling" w:hAnsi="Felix Titling" w:eastAsia="Felix Titling" w:cs="Felix Titling"/>
        <w:smallCaps/>
      </w:rPr>
    </w:pPr>
    <w:r>
      <w:rPr>
        <w:rFonts w:eastAsia="Felix Titling" w:cs="Felix Titling" w:ascii="Felix Titling" w:hAnsi="Felix Titling"/>
        <w:smallCaps/>
      </w:rPr>
      <w:t>New York, NY 10038-4982</w:t>
    </w:r>
  </w:p>
  <w:p>
    <w:pPr>
      <w:pStyle w:val="Normal"/>
      <w:jc w:val="center"/>
      <w:rPr>
        <w:rFonts w:ascii="Felix Titling" w:hAnsi="Felix Titling" w:eastAsia="Felix Titling" w:cs="Felix Titling"/>
        <w:smallCaps/>
        <w:sz w:val="18"/>
        <w:szCs w:val="18"/>
      </w:rPr>
    </w:pPr>
    <w:r>
      <w:rPr>
        <w:rFonts w:eastAsia="Felix Titling" w:cs="Felix Titling" w:ascii="Felix Titling" w:hAnsi="Felix Titling"/>
        <w:smallCaps/>
        <w:sz w:val="18"/>
        <w:szCs w:val="18"/>
      </w:rPr>
    </w:r>
  </w:p>
  <w:p>
    <w:pPr>
      <w:pStyle w:val="Normal"/>
      <w:jc w:val="center"/>
      <w:rPr>
        <w:rFonts w:ascii="Felix Titling" w:hAnsi="Felix Titling" w:eastAsia="Felix Titling" w:cs="Felix Titling"/>
        <w:smallCaps/>
        <w:sz w:val="18"/>
        <w:szCs w:val="18"/>
      </w:rPr>
    </w:pPr>
    <w:r>
      <w:rPr>
        <w:rFonts w:eastAsia="Felix Titling" w:cs="Felix Titling" w:ascii="Felix Titling" w:hAnsi="Felix Titling"/>
        <w:smallCaps/>
        <w:sz w:val="18"/>
        <w:szCs w:val="18"/>
      </w:rPr>
      <w:t>Phone</w:t>
      <w:tab/>
      <w:t>212-806-5400</w:t>
    </w:r>
  </w:p>
  <w:p>
    <w:pPr>
      <w:pStyle w:val="Normal"/>
      <w:jc w:val="center"/>
      <w:rPr>
        <w:smallCaps/>
        <w:sz w:val="18"/>
        <w:szCs w:val="18"/>
      </w:rPr>
    </w:pPr>
    <w:r>
      <w:rPr>
        <w:rFonts w:eastAsia="Felix Titling" w:cs="Felix Titling" w:ascii="Felix Titling" w:hAnsi="Felix Titling"/>
        <w:smallCaps/>
        <w:sz w:val="18"/>
        <w:szCs w:val="18"/>
      </w:rPr>
      <w:t>Fax</w:t>
      <w:tab/>
      <w:t>212-806-6006</w:t>
    </w:r>
  </w:p>
  <w:p>
    <w:pPr>
      <w:pStyle w:val="Header"/>
      <w:rPr>
        <w:smallCaps/>
        <w:sz w:val="18"/>
        <w:szCs w:val="18"/>
      </w:rPr>
    </w:pPr>
    <w:r>
      <w:rPr>
        <w:smallCaps/>
        <w:sz w:val="18"/>
        <w:szCs w:val="18"/>
      </w:rPr>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120" w:after="0"/>
      <w:ind w:hanging="720" w:start="720" w:end="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2001-03-19T18:45:00Z</dcterms:created>
  <dc:creator>MGOLDSTEIN</dc:creator>
  <dc:description/>
  <dc:language>en-CA</dc:language>
  <cp:lastModifiedBy>Andy Katz</cp:lastModifiedBy>
  <cp:lastPrinted>1999-11-10T13:35:00Z</cp:lastPrinted>
  <dcterms:modified xsi:type="dcterms:W3CDTF">2001-03-19T18:45:00Z</dcterms:modified>
  <cp:revision>2</cp:revision>
  <dc:subject/>
  <dc:title>OUTLINE OF PRESENTATION</dc:title>
</cp:coreProperties>
</file>