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b/>
          <w:sz w:val="26"/>
          <w:u w:val="single"/>
          <w:lang w:val="en-US"/>
        </w:rPr>
      </w:pPr>
      <w:r>
        <w:rPr>
          <w:rFonts w:cs="Arial" w:ascii="Arial" w:hAnsi="Arial"/>
          <w:b/>
          <w:sz w:val="26"/>
          <w:u w:val="single"/>
          <w:lang w:val="en-US"/>
        </w:rPr>
        <w:t>POWER REGULATORY OBJECTIVES FOR 2001</w:t>
      </w:r>
    </w:p>
    <w:p>
      <w:pPr>
        <w:pStyle w:val="Normal"/>
        <w:jc w:val="both"/>
        <w:rPr>
          <w:rFonts w:ascii="Arial" w:hAnsi="Arial" w:cs="Arial"/>
          <w:b/>
          <w:sz w:val="26"/>
          <w:u w:val="single"/>
          <w:lang w:val="en-US"/>
        </w:rPr>
      </w:pPr>
      <w:r>
        <w:rPr>
          <w:rFonts w:cs="Arial" w:ascii="Arial" w:hAnsi="Arial"/>
          <w:b/>
          <w:sz w:val="26"/>
          <w:u w:val="single"/>
          <w:lang w:val="en-US"/>
        </w:rPr>
      </w:r>
    </w:p>
    <w:p>
      <w:pPr>
        <w:pStyle w:val="Normal"/>
        <w:jc w:val="both"/>
        <w:rPr>
          <w:rFonts w:ascii="Arial" w:hAnsi="Arial" w:cs="Arial"/>
          <w:b/>
          <w:sz w:val="26"/>
          <w:u w:val="single"/>
          <w:lang w:val="en-US"/>
        </w:rPr>
      </w:pPr>
      <w:r>
        <w:rPr>
          <w:rFonts w:cs="Arial" w:ascii="Arial" w:hAnsi="Arial"/>
          <w:b/>
          <w:sz w:val="26"/>
          <w:u w:val="single"/>
          <w:lang w:val="en-US"/>
        </w:rPr>
        <w:t>HIGH PRIORITY OBJECTIVES</w:t>
      </w:r>
    </w:p>
    <w:p>
      <w:pPr>
        <w:pStyle w:val="Normal"/>
        <w:jc w:val="both"/>
        <w:rPr>
          <w:rFonts w:ascii="Arial" w:hAnsi="Arial" w:cs="Arial"/>
          <w:b/>
          <w:sz w:val="26"/>
          <w:u w:val="single"/>
          <w:lang w:val="en-US"/>
        </w:rPr>
      </w:pPr>
      <w:r>
        <w:rPr>
          <w:rFonts w:cs="Arial" w:ascii="Arial" w:hAnsi="Arial"/>
          <w:b/>
          <w:sz w:val="26"/>
          <w:u w:val="single"/>
          <w:lang w:val="en-US"/>
        </w:rPr>
      </w:r>
    </w:p>
    <w:p>
      <w:pPr>
        <w:pStyle w:val="Normal"/>
        <w:tabs>
          <w:tab w:val="left" w:pos="720" w:leader="none"/>
        </w:tabs>
        <w:ind w:hanging="360" w:start="720" w:end="0"/>
        <w:jc w:val="both"/>
        <w:rPr/>
      </w:pPr>
      <w:r>
        <w:rPr>
          <w:rFonts w:cs="Symbol" w:ascii="Symbol" w:hAnsi="Symbol"/>
          <w:sz w:val="26"/>
          <w:lang w:val="en-US"/>
        </w:rPr>
        <w:tab/>
      </w:r>
      <w:r>
        <w:rPr>
          <w:rFonts w:cs="Arial" w:ascii="Arial" w:hAnsi="Arial"/>
          <w:b/>
          <w:sz w:val="26"/>
          <w:u w:val="single"/>
          <w:lang w:val="en-US"/>
        </w:rPr>
        <w:t xml:space="preserve">Eliminate or Increase fuel declaration caps. </w:t>
      </w:r>
      <w:r>
        <w:rPr>
          <w:rFonts w:cs="Arial" w:ascii="Arial" w:hAnsi="Arial"/>
          <w:sz w:val="26"/>
          <w:lang w:val="en-US"/>
        </w:rPr>
        <w:t>Current rules establish a cap for fuel declaration equal 1.15 times the fuel reference price established by CAMMESA. A higher cap could allow generators to produce with a cheaper fuel (natural gas) instead of one more expensive (fuel oil-gas oil).</w:t>
      </w:r>
    </w:p>
    <w:p>
      <w:pPr>
        <w:pStyle w:val="Normal"/>
        <w:ind w:start="720" w:end="0"/>
        <w:jc w:val="both"/>
        <w:rPr>
          <w:rFonts w:ascii="Arial" w:hAnsi="Arial" w:cs="Arial"/>
          <w:sz w:val="26"/>
          <w:u w:val="single"/>
          <w:lang w:val="en-US"/>
        </w:rPr>
      </w:pPr>
      <w:r>
        <w:rPr>
          <w:rFonts w:cs="Arial" w:ascii="Arial" w:hAnsi="Arial"/>
          <w:sz w:val="26"/>
          <w:u w:val="single"/>
          <w:lang w:val="en-US"/>
        </w:rPr>
      </w:r>
    </w:p>
    <w:p>
      <w:pPr>
        <w:pStyle w:val="Normal"/>
        <w:ind w:start="720" w:end="0"/>
        <w:jc w:val="both"/>
        <w:rPr/>
      </w:pPr>
      <w:r>
        <w:rPr>
          <w:rFonts w:cs="Arial" w:ascii="Arial" w:hAnsi="Arial"/>
          <w:sz w:val="26"/>
          <w:u w:val="single"/>
          <w:lang w:val="en-US"/>
        </w:rPr>
        <w:t>Value of the goal for Enron</w:t>
      </w:r>
      <w:r>
        <w:rPr>
          <w:rFonts w:cs="Arial" w:ascii="Arial" w:hAnsi="Arial"/>
          <w:sz w:val="26"/>
          <w:lang w:val="en-US"/>
        </w:rPr>
        <w:t>: to be determined by Julián</w:t>
      </w:r>
    </w:p>
    <w:p>
      <w:pPr>
        <w:pStyle w:val="Normal"/>
        <w:ind w:start="720" w:end="0"/>
        <w:jc w:val="both"/>
        <w:rPr/>
      </w:pPr>
      <w:r>
        <w:rPr>
          <w:rFonts w:cs="Arial" w:ascii="Arial" w:hAnsi="Arial"/>
          <w:sz w:val="26"/>
          <w:u w:val="single"/>
          <w:lang w:val="en-US"/>
        </w:rPr>
        <w:t>Success factors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Lobby CAMMESA and the Secretariat of Energy.</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Obtain the support of ACEERA, AGEERA, other marketers and Gencos.</w:t>
      </w:r>
    </w:p>
    <w:p>
      <w:pPr>
        <w:pStyle w:val="Normal"/>
        <w:ind w:start="720" w:end="0"/>
        <w:jc w:val="both"/>
        <w:rPr/>
      </w:pPr>
      <w:r>
        <w:rPr>
          <w:rFonts w:cs="Arial" w:ascii="Arial" w:hAnsi="Arial"/>
          <w:sz w:val="26"/>
          <w:u w:val="single"/>
          <w:lang w:val="en-US"/>
        </w:rPr>
        <w:t>Cost</w:t>
      </w:r>
      <w:r>
        <w:rPr>
          <w:rFonts w:cs="Arial" w:ascii="Arial" w:hAnsi="Arial"/>
          <w:sz w:val="26"/>
          <w:lang w:val="en-US"/>
        </w:rPr>
        <w:t>: 40 hours/year of regulatory work.</w:t>
      </w:r>
    </w:p>
    <w:p>
      <w:pPr>
        <w:pStyle w:val="Normal"/>
        <w:ind w:start="720" w:end="0"/>
        <w:jc w:val="both"/>
        <w:rPr/>
      </w:pPr>
      <w:r>
        <w:rPr>
          <w:rFonts w:cs="Arial" w:ascii="Arial" w:hAnsi="Arial"/>
          <w:sz w:val="26"/>
          <w:u w:val="single"/>
          <w:lang w:val="en-US"/>
        </w:rPr>
        <w:t>Hurdles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California’s crisis increase the fear of government official to price deregulation.</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Since this would imply a higher price for forced dispatch, distcos will resist as long as they can not pass through forced dispatch cost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Enron image in the market has been deteriorated. The reason is: 1) the association between Enron and Azurix, who very frequently appears on the media with negative clippings; 2) the reduced market presence due to the Office restructuring. This was reflected by the press.</w:t>
      </w:r>
    </w:p>
    <w:p>
      <w:pPr>
        <w:pStyle w:val="Normal"/>
        <w:jc w:val="both"/>
        <w:rPr>
          <w:rFonts w:ascii="Arial" w:hAnsi="Arial" w:cs="Arial"/>
          <w:sz w:val="26"/>
          <w:lang w:val="en-US"/>
        </w:rPr>
      </w:pPr>
      <w:r>
        <w:rPr>
          <w:rFonts w:cs="Arial" w:ascii="Arial" w:hAnsi="Arial"/>
          <w:sz w:val="26"/>
          <w:lang w:val="en-US"/>
        </w:rPr>
      </w:r>
    </w:p>
    <w:p>
      <w:pPr>
        <w:pStyle w:val="Normal"/>
        <w:tabs>
          <w:tab w:val="left" w:pos="720" w:leader="none"/>
        </w:tabs>
        <w:ind w:hanging="360" w:start="720" w:end="0"/>
        <w:jc w:val="both"/>
        <w:rPr/>
      </w:pPr>
      <w:r>
        <w:rPr>
          <w:rFonts w:cs="Symbol" w:ascii="Symbol" w:hAnsi="Symbol"/>
          <w:sz w:val="26"/>
          <w:lang w:val="en-US"/>
        </w:rPr>
        <w:tab/>
      </w:r>
      <w:r>
        <w:rPr>
          <w:rFonts w:cs="Arial" w:ascii="Arial" w:hAnsi="Arial"/>
          <w:b/>
          <w:sz w:val="26"/>
          <w:u w:val="single"/>
          <w:lang w:val="en-US"/>
        </w:rPr>
        <w:t>Forced Dispatch service must be rendered under a PPA.</w:t>
      </w:r>
      <w:r>
        <w:rPr>
          <w:rFonts w:cs="Arial" w:ascii="Arial" w:hAnsi="Arial"/>
          <w:sz w:val="26"/>
          <w:lang w:val="en-US"/>
        </w:rPr>
        <w:t xml:space="preserve"> Current rules allow LDCs to ask CAMMESA to force dispatch a Genco paying only the Marginal Cost declared by the Genco, without any contract between the parties. Resolution 545 contemplates this situation, by forcing LDCs to sign a PPA with the Genco that is required to be dispatched. The idea is to secure that this will not “disappear” from the Resolution. This is particularly important for Modesto Maranzana Power Plant.</w:t>
      </w:r>
    </w:p>
    <w:p>
      <w:pPr>
        <w:pStyle w:val="Normal"/>
        <w:ind w:start="720" w:end="0"/>
        <w:jc w:val="both"/>
        <w:rPr>
          <w:rFonts w:ascii="Arial" w:hAnsi="Arial" w:cs="Arial"/>
          <w:sz w:val="26"/>
          <w:u w:val="single"/>
          <w:lang w:val="en-US"/>
        </w:rPr>
      </w:pPr>
      <w:r>
        <w:rPr>
          <w:rFonts w:cs="Arial" w:ascii="Arial" w:hAnsi="Arial"/>
          <w:sz w:val="26"/>
          <w:u w:val="single"/>
          <w:lang w:val="en-US"/>
        </w:rPr>
      </w:r>
    </w:p>
    <w:p>
      <w:pPr>
        <w:pStyle w:val="Normal"/>
        <w:ind w:start="720" w:end="0"/>
        <w:jc w:val="both"/>
        <w:rPr>
          <w:rFonts w:ascii="Arial" w:hAnsi="Arial" w:cs="Arial"/>
          <w:color w:val="FF0000"/>
          <w:sz w:val="26"/>
          <w:u w:val="single"/>
          <w:lang w:val="en-US"/>
        </w:rPr>
      </w:pPr>
      <w:r>
        <w:rPr>
          <w:rFonts w:cs="Arial" w:ascii="Arial" w:hAnsi="Arial"/>
          <w:color w:val="FF0000"/>
          <w:sz w:val="26"/>
          <w:u w:val="single"/>
          <w:lang w:val="en-US"/>
        </w:rPr>
        <w:t>Resolution 545 was already abolished. Resolution 109/2001 determined new rules for forced dispatch.</w:t>
      </w:r>
    </w:p>
    <w:p>
      <w:pPr>
        <w:pStyle w:val="Normal"/>
        <w:jc w:val="both"/>
        <w:rPr>
          <w:rFonts w:ascii="Arial" w:hAnsi="Arial" w:cs="Arial"/>
          <w:color w:val="FF0000"/>
          <w:sz w:val="26"/>
          <w:u w:val="single"/>
          <w:lang w:val="en-US"/>
        </w:rPr>
      </w:pPr>
      <w:r>
        <w:rPr>
          <w:rFonts w:cs="Arial" w:ascii="Arial" w:hAnsi="Arial"/>
          <w:color w:val="FF0000"/>
          <w:sz w:val="26"/>
          <w:u w:val="single"/>
          <w:lang w:val="en-US"/>
        </w:rPr>
      </w:r>
    </w:p>
    <w:p>
      <w:pPr>
        <w:pStyle w:val="Normal"/>
        <w:tabs>
          <w:tab w:val="left" w:pos="720" w:leader="none"/>
        </w:tabs>
        <w:ind w:hanging="360" w:start="720" w:end="0"/>
        <w:jc w:val="both"/>
        <w:rPr/>
      </w:pPr>
      <w:r>
        <w:rPr>
          <w:rFonts w:cs="Symbol" w:ascii="Symbol" w:hAnsi="Symbol"/>
          <w:sz w:val="26"/>
          <w:lang w:val="en-US"/>
        </w:rPr>
        <w:tab/>
      </w:r>
      <w:r>
        <w:rPr>
          <w:rFonts w:cs="Arial" w:ascii="Arial" w:hAnsi="Arial"/>
          <w:b/>
          <w:sz w:val="26"/>
          <w:u w:val="single"/>
          <w:lang w:val="en-US"/>
        </w:rPr>
        <w:t>Reduce minimum term for Output &amp; Demand Marketing Agreements to one month.</w:t>
      </w:r>
      <w:r>
        <w:rPr>
          <w:rFonts w:cs="Arial" w:ascii="Arial" w:hAnsi="Arial"/>
          <w:b/>
          <w:sz w:val="26"/>
          <w:lang w:val="en-US"/>
        </w:rPr>
        <w:t xml:space="preserve"> </w:t>
      </w:r>
      <w:r>
        <w:rPr>
          <w:rFonts w:cs="Arial" w:ascii="Arial" w:hAnsi="Arial"/>
          <w:sz w:val="26"/>
          <w:lang w:val="en-US"/>
        </w:rPr>
        <w:t>Resolution 589 established a minimum term of 12 month. Resolution 150/00 reduced this term to six month. A reduction in this term to one month is needed, in order to eliminate the inequality between Supply Agreements and Output or Demand Marketing Agreements.</w:t>
      </w:r>
    </w:p>
    <w:p>
      <w:pPr>
        <w:pStyle w:val="Normal"/>
        <w:jc w:val="both"/>
        <w:rPr>
          <w:rFonts w:ascii="Arial" w:hAnsi="Arial" w:cs="Arial"/>
          <w:sz w:val="26"/>
          <w:lang w:val="en-US"/>
        </w:rPr>
      </w:pPr>
      <w:r>
        <w:rPr>
          <w:rFonts w:cs="Arial" w:ascii="Arial" w:hAnsi="Arial"/>
          <w:sz w:val="26"/>
          <w:lang w:val="en-US"/>
        </w:rPr>
      </w:r>
    </w:p>
    <w:p>
      <w:pPr>
        <w:pStyle w:val="Normal"/>
        <w:ind w:start="720" w:end="0"/>
        <w:jc w:val="both"/>
        <w:rPr/>
      </w:pPr>
      <w:r>
        <w:rPr>
          <w:rFonts w:cs="Arial" w:ascii="Arial" w:hAnsi="Arial"/>
          <w:sz w:val="26"/>
          <w:u w:val="single"/>
          <w:lang w:val="en-US"/>
        </w:rPr>
        <w:t>Value of the goal for Enron</w:t>
      </w:r>
      <w:r>
        <w:rPr>
          <w:rFonts w:cs="Arial" w:ascii="Arial" w:hAnsi="Arial"/>
          <w:sz w:val="26"/>
          <w:lang w:val="en-US"/>
        </w:rPr>
        <w:t>: to be determined by Julián</w:t>
      </w:r>
    </w:p>
    <w:p>
      <w:pPr>
        <w:pStyle w:val="Normal"/>
        <w:ind w:start="720" w:end="0"/>
        <w:jc w:val="both"/>
        <w:rPr/>
      </w:pPr>
      <w:r>
        <w:rPr>
          <w:rFonts w:cs="Arial" w:ascii="Arial" w:hAnsi="Arial"/>
          <w:sz w:val="26"/>
          <w:u w:val="single"/>
          <w:lang w:val="en-US"/>
        </w:rPr>
        <w:t>Success factors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Lobby the Secretariat of Energy.</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 xml:space="preserve">Obtain the support of AGEERA, ACEERA and other marketers. </w:t>
      </w:r>
    </w:p>
    <w:p>
      <w:pPr>
        <w:pStyle w:val="Normal"/>
        <w:ind w:start="720" w:end="0"/>
        <w:jc w:val="both"/>
        <w:rPr/>
      </w:pPr>
      <w:r>
        <w:rPr>
          <w:rFonts w:cs="Arial" w:ascii="Arial" w:hAnsi="Arial"/>
          <w:sz w:val="26"/>
          <w:u w:val="single"/>
          <w:lang w:val="en-US"/>
        </w:rPr>
        <w:t>Cost</w:t>
      </w:r>
      <w:r>
        <w:rPr>
          <w:rFonts w:cs="Arial" w:ascii="Arial" w:hAnsi="Arial"/>
          <w:sz w:val="26"/>
          <w:lang w:val="en-US"/>
        </w:rPr>
        <w:t>: 60 hours/year of regulatory work.</w:t>
      </w:r>
    </w:p>
    <w:p>
      <w:pPr>
        <w:pStyle w:val="Normal"/>
        <w:ind w:start="720" w:end="0"/>
        <w:jc w:val="both"/>
        <w:rPr/>
      </w:pPr>
      <w:r>
        <w:rPr>
          <w:rFonts w:cs="Arial" w:ascii="Arial" w:hAnsi="Arial"/>
          <w:sz w:val="26"/>
          <w:u w:val="single"/>
          <w:lang w:val="en-US"/>
        </w:rPr>
        <w:t>Hurdles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Secretariat of Energy did not dare to take this measure last year.</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Distributors oppose to any measure toward competition.</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Enron image in the market has been deteriorated.</w:t>
      </w:r>
    </w:p>
    <w:p>
      <w:pPr>
        <w:pStyle w:val="Normal"/>
        <w:jc w:val="both"/>
        <w:rPr>
          <w:rFonts w:ascii="Arial" w:hAnsi="Arial" w:cs="Arial"/>
          <w:sz w:val="26"/>
          <w:lang w:val="en-US"/>
        </w:rPr>
      </w:pPr>
      <w:r>
        <w:rPr>
          <w:rFonts w:cs="Arial" w:ascii="Arial" w:hAnsi="Arial"/>
          <w:sz w:val="26"/>
          <w:lang w:val="en-US"/>
        </w:rPr>
      </w:r>
    </w:p>
    <w:p>
      <w:pPr>
        <w:pStyle w:val="Normal"/>
        <w:tabs>
          <w:tab w:val="left" w:pos="720" w:leader="none"/>
        </w:tabs>
        <w:ind w:hanging="360" w:start="720" w:end="0"/>
        <w:jc w:val="both"/>
        <w:rPr/>
      </w:pPr>
      <w:r>
        <w:rPr>
          <w:rFonts w:cs="Symbol" w:ascii="Symbol" w:hAnsi="Symbol"/>
          <w:sz w:val="26"/>
          <w:lang w:val="en-US"/>
        </w:rPr>
        <w:tab/>
      </w:r>
      <w:r>
        <w:rPr>
          <w:rFonts w:cs="Arial" w:ascii="Arial" w:hAnsi="Arial"/>
          <w:b/>
          <w:sz w:val="26"/>
          <w:u w:val="single"/>
          <w:lang w:val="en-US"/>
        </w:rPr>
        <w:t>Eliminate or reduce to 1 MW the threshold for Output Marketing Agreements.</w:t>
      </w:r>
      <w:r>
        <w:rPr>
          <w:rFonts w:cs="Arial" w:ascii="Arial" w:hAnsi="Arial"/>
          <w:sz w:val="26"/>
          <w:lang w:val="en-US"/>
        </w:rPr>
        <w:t xml:space="preserve"> Resolution 589 established a threshold of 50 MW (or a whole unit) for Output Marketing Agreements. Resolution 150/00 reduced this threshold to 10 MW. In order to facilitate EOL physical transactions, the threshold must be eliminated or reduced to 1MW.</w:t>
      </w:r>
    </w:p>
    <w:p>
      <w:pPr>
        <w:pStyle w:val="Normal"/>
        <w:jc w:val="both"/>
        <w:rPr>
          <w:rFonts w:ascii="Arial" w:hAnsi="Arial" w:cs="Arial"/>
          <w:sz w:val="26"/>
          <w:lang w:val="en-US"/>
        </w:rPr>
      </w:pPr>
      <w:r>
        <w:rPr>
          <w:rFonts w:cs="Arial" w:ascii="Arial" w:hAnsi="Arial"/>
          <w:sz w:val="26"/>
          <w:lang w:val="en-US"/>
        </w:rPr>
      </w:r>
    </w:p>
    <w:p>
      <w:pPr>
        <w:pStyle w:val="Normal"/>
        <w:ind w:start="720" w:end="0"/>
        <w:jc w:val="both"/>
        <w:rPr/>
      </w:pPr>
      <w:r>
        <w:rPr>
          <w:rFonts w:cs="Arial" w:ascii="Arial" w:hAnsi="Arial"/>
          <w:sz w:val="26"/>
          <w:u w:val="single"/>
          <w:lang w:val="en-US"/>
        </w:rPr>
        <w:t>Value of the goal for Enron</w:t>
      </w:r>
      <w:r>
        <w:rPr>
          <w:rFonts w:cs="Arial" w:ascii="Arial" w:hAnsi="Arial"/>
          <w:sz w:val="26"/>
          <w:lang w:val="en-US"/>
        </w:rPr>
        <w:t>: to be determined by Julián</w:t>
      </w:r>
    </w:p>
    <w:p>
      <w:pPr>
        <w:pStyle w:val="Normal"/>
        <w:ind w:start="720" w:end="0"/>
        <w:jc w:val="both"/>
        <w:rPr/>
      </w:pPr>
      <w:r>
        <w:rPr>
          <w:rFonts w:cs="Arial" w:ascii="Arial" w:hAnsi="Arial"/>
          <w:sz w:val="26"/>
          <w:u w:val="single"/>
          <w:lang w:val="en-US"/>
        </w:rPr>
        <w:t>Success factors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 xml:space="preserve">Lobby the Secretariat of Energy </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Obtain the support of AGEERA, ACEERA and other marketers.</w:t>
      </w:r>
    </w:p>
    <w:p>
      <w:pPr>
        <w:pStyle w:val="Normal"/>
        <w:ind w:start="720" w:end="0"/>
        <w:jc w:val="both"/>
        <w:rPr/>
      </w:pPr>
      <w:r>
        <w:rPr>
          <w:rFonts w:cs="Arial" w:ascii="Arial" w:hAnsi="Arial"/>
          <w:sz w:val="26"/>
          <w:u w:val="single"/>
          <w:lang w:val="en-US"/>
        </w:rPr>
        <w:t>Cost</w:t>
      </w:r>
      <w:r>
        <w:rPr>
          <w:rFonts w:cs="Arial" w:ascii="Arial" w:hAnsi="Arial"/>
          <w:sz w:val="26"/>
          <w:lang w:val="en-US"/>
        </w:rPr>
        <w:t>:  60 hours/year of regulatory work.</w:t>
      </w:r>
    </w:p>
    <w:p>
      <w:pPr>
        <w:pStyle w:val="Normal"/>
        <w:ind w:start="720" w:end="0"/>
        <w:jc w:val="both"/>
        <w:rPr/>
      </w:pPr>
      <w:r>
        <w:rPr>
          <w:rFonts w:cs="Arial" w:ascii="Arial" w:hAnsi="Arial"/>
          <w:sz w:val="26"/>
          <w:u w:val="single"/>
          <w:lang w:val="en-US"/>
        </w:rPr>
        <w:t>Hurdles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Secretariat of Energy did not dare to take this measure last year</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Distributors oppose to any measure toward competition</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Enron image in the market has been deteriorated.</w:t>
      </w:r>
    </w:p>
    <w:p>
      <w:pPr>
        <w:pStyle w:val="Normal"/>
        <w:jc w:val="both"/>
        <w:rPr>
          <w:rFonts w:ascii="Arial" w:hAnsi="Arial" w:cs="Arial"/>
          <w:sz w:val="26"/>
          <w:lang w:val="en-US"/>
        </w:rPr>
      </w:pPr>
      <w:r>
        <w:rPr>
          <w:rFonts w:cs="Arial" w:ascii="Arial" w:hAnsi="Arial"/>
          <w:sz w:val="26"/>
          <w:lang w:val="en-US"/>
        </w:rPr>
      </w:r>
    </w:p>
    <w:p>
      <w:pPr>
        <w:pStyle w:val="Normal"/>
        <w:tabs>
          <w:tab w:val="left" w:pos="720" w:leader="none"/>
        </w:tabs>
        <w:ind w:hanging="360" w:start="720" w:end="0"/>
        <w:jc w:val="both"/>
        <w:rPr/>
      </w:pPr>
      <w:r>
        <w:rPr>
          <w:rFonts w:cs="Symbol" w:ascii="Symbol" w:hAnsi="Symbol"/>
          <w:sz w:val="26"/>
          <w:lang w:val="en-US"/>
        </w:rPr>
        <w:tab/>
      </w:r>
      <w:r>
        <w:rPr>
          <w:rFonts w:cs="Arial" w:ascii="Arial" w:hAnsi="Arial"/>
          <w:b/>
          <w:sz w:val="26"/>
          <w:u w:val="single"/>
          <w:lang w:val="en-US"/>
        </w:rPr>
        <w:t>Reduce or eliminate the obligation to physically back up agreements with end users or LDCs.</w:t>
      </w:r>
      <w:r>
        <w:rPr>
          <w:rFonts w:cs="Arial" w:ascii="Arial" w:hAnsi="Arial"/>
          <w:sz w:val="26"/>
          <w:lang w:val="en-US"/>
        </w:rPr>
        <w:t xml:space="preserve"> Current rules establish that Gencos and Marketers must 100% back up their physical agreements with end users or LDCs. The reduction or elimination of that restriction will provide more flexibility to the Power Desk. To assure the quality of the services provided by Gencos or Marketers this change should be complemented with a mechanism of financial penalties.</w:t>
      </w:r>
    </w:p>
    <w:p>
      <w:pPr>
        <w:pStyle w:val="Normal"/>
        <w:jc w:val="both"/>
        <w:rPr>
          <w:rFonts w:ascii="Arial" w:hAnsi="Arial" w:cs="Arial"/>
          <w:sz w:val="26"/>
          <w:lang w:val="en-US"/>
        </w:rPr>
      </w:pPr>
      <w:r>
        <w:rPr>
          <w:rFonts w:cs="Arial" w:ascii="Arial" w:hAnsi="Arial"/>
          <w:sz w:val="26"/>
          <w:lang w:val="en-US"/>
        </w:rPr>
      </w:r>
    </w:p>
    <w:p>
      <w:pPr>
        <w:pStyle w:val="Normal"/>
        <w:ind w:start="720" w:end="0"/>
        <w:jc w:val="both"/>
        <w:rPr/>
      </w:pPr>
      <w:r>
        <w:rPr>
          <w:rFonts w:cs="Arial" w:ascii="Arial" w:hAnsi="Arial"/>
          <w:sz w:val="26"/>
          <w:u w:val="single"/>
          <w:lang w:val="en-US"/>
        </w:rPr>
        <w:t>Value of the goal for Enron</w:t>
      </w:r>
      <w:r>
        <w:rPr>
          <w:rFonts w:cs="Arial" w:ascii="Arial" w:hAnsi="Arial"/>
          <w:sz w:val="26"/>
          <w:lang w:val="en-US"/>
        </w:rPr>
        <w:t>: to be determined by Julián</w:t>
      </w:r>
    </w:p>
    <w:p>
      <w:pPr>
        <w:pStyle w:val="Normal"/>
        <w:ind w:start="720" w:end="0"/>
        <w:jc w:val="both"/>
        <w:rPr/>
      </w:pPr>
      <w:r>
        <w:rPr>
          <w:rFonts w:cs="Arial" w:ascii="Arial" w:hAnsi="Arial"/>
          <w:sz w:val="26"/>
          <w:u w:val="single"/>
          <w:lang w:val="en-US"/>
        </w:rPr>
        <w:t>Success factors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Lobby the Secretariat of Energy</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Obtain the support of AGEERA, ACEERA and other marketers</w:t>
      </w:r>
    </w:p>
    <w:p>
      <w:pPr>
        <w:pStyle w:val="Normal"/>
        <w:ind w:start="720" w:end="0"/>
        <w:jc w:val="both"/>
        <w:rPr/>
      </w:pPr>
      <w:r>
        <w:rPr>
          <w:rFonts w:cs="Arial" w:ascii="Arial" w:hAnsi="Arial"/>
          <w:sz w:val="26"/>
          <w:u w:val="single"/>
          <w:lang w:val="en-US"/>
        </w:rPr>
        <w:t>Cost</w:t>
      </w:r>
      <w:r>
        <w:rPr>
          <w:rFonts w:cs="Arial" w:ascii="Arial" w:hAnsi="Arial"/>
          <w:sz w:val="26"/>
          <w:lang w:val="en-US"/>
        </w:rPr>
        <w:t>: 60 hours/year of regulatory work.</w:t>
      </w:r>
    </w:p>
    <w:p>
      <w:pPr>
        <w:pStyle w:val="Normal"/>
        <w:ind w:start="720" w:end="0"/>
        <w:jc w:val="both"/>
        <w:rPr/>
      </w:pPr>
      <w:r>
        <w:rPr>
          <w:rFonts w:cs="Arial" w:ascii="Arial" w:hAnsi="Arial"/>
          <w:sz w:val="26"/>
          <w:u w:val="single"/>
          <w:lang w:val="en-US"/>
        </w:rPr>
        <w:t>Hurdles</w:t>
      </w:r>
      <w:r>
        <w:rPr>
          <w:rFonts w:cs="Arial" w:ascii="Arial" w:hAnsi="Arial"/>
          <w:sz w:val="26"/>
          <w:lang w:val="en-US"/>
        </w:rPr>
        <w:t xml:space="preserve">: </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Secretariat of Energy has already rejected this kind of measure during the last 3 years.</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Distributors oppose to any measure that introduce flexibility in the market.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Enron image in the market has been deteriorated.</w:t>
      </w:r>
    </w:p>
    <w:p>
      <w:pPr>
        <w:pStyle w:val="Normal"/>
        <w:jc w:val="both"/>
        <w:rPr>
          <w:rFonts w:ascii="Arial" w:hAnsi="Arial" w:cs="Arial"/>
          <w:sz w:val="26"/>
          <w:lang w:val="en-US"/>
        </w:rPr>
      </w:pPr>
      <w:r>
        <w:rPr>
          <w:rFonts w:cs="Arial" w:ascii="Arial" w:hAnsi="Arial"/>
          <w:sz w:val="26"/>
          <w:lang w:val="en-US"/>
        </w:rPr>
      </w:r>
    </w:p>
    <w:p>
      <w:pPr>
        <w:pStyle w:val="Normal"/>
        <w:tabs>
          <w:tab w:val="left" w:pos="720" w:leader="none"/>
        </w:tabs>
        <w:ind w:hanging="360" w:start="720" w:end="0"/>
        <w:jc w:val="both"/>
        <w:rPr/>
      </w:pPr>
      <w:r>
        <w:rPr>
          <w:rFonts w:cs="Symbol" w:ascii="Symbol" w:hAnsi="Symbol"/>
          <w:sz w:val="26"/>
          <w:lang w:val="en-US"/>
        </w:rPr>
        <w:tab/>
      </w:r>
      <w:r>
        <w:rPr>
          <w:rFonts w:cs="Arial" w:ascii="Arial" w:hAnsi="Arial"/>
          <w:b/>
          <w:sz w:val="26"/>
          <w:u w:val="single"/>
          <w:lang w:val="en-US"/>
        </w:rPr>
        <w:t>Gross Receipts.</w:t>
      </w:r>
      <w:r>
        <w:rPr>
          <w:rFonts w:cs="Arial" w:ascii="Arial" w:hAnsi="Arial"/>
          <w:sz w:val="26"/>
          <w:lang w:val="en-US"/>
        </w:rPr>
        <w:t xml:space="preserve"> Get gross receipts tax applied on the net margin for marketers. Reduce the impact of gross receipts over Modesto Maranzana power plant commercial activities. Move forward with our strategy to obtain a decree in this subject. Send a letter to the Secretariat of Energy asking for a quick resolution, since we have already submitted formally a proposal for a Decree.</w:t>
      </w:r>
    </w:p>
    <w:p>
      <w:pPr>
        <w:pStyle w:val="Normal"/>
        <w:jc w:val="both"/>
        <w:rPr>
          <w:rFonts w:ascii="Arial" w:hAnsi="Arial" w:cs="Arial"/>
          <w:sz w:val="26"/>
          <w:lang w:val="en-US"/>
        </w:rPr>
      </w:pPr>
      <w:r>
        <w:rPr>
          <w:rFonts w:cs="Arial" w:ascii="Arial" w:hAnsi="Arial"/>
          <w:sz w:val="26"/>
          <w:lang w:val="en-US"/>
        </w:rPr>
      </w:r>
    </w:p>
    <w:p>
      <w:pPr>
        <w:pStyle w:val="Normal"/>
        <w:ind w:start="720" w:end="0"/>
        <w:jc w:val="both"/>
        <w:rPr/>
      </w:pPr>
      <w:r>
        <w:rPr>
          <w:rFonts w:cs="Arial" w:ascii="Arial" w:hAnsi="Arial"/>
          <w:sz w:val="26"/>
          <w:u w:val="single"/>
          <w:lang w:val="en-US"/>
        </w:rPr>
        <w:t>Value of the goal for Enron</w:t>
      </w:r>
      <w:r>
        <w:rPr>
          <w:rFonts w:cs="Arial" w:ascii="Arial" w:hAnsi="Arial"/>
          <w:sz w:val="26"/>
          <w:lang w:val="en-US"/>
        </w:rPr>
        <w:t>: to be determined by Julián</w:t>
      </w:r>
    </w:p>
    <w:p>
      <w:pPr>
        <w:pStyle w:val="Normal"/>
        <w:ind w:start="720" w:end="0"/>
        <w:jc w:val="both"/>
        <w:rPr/>
      </w:pPr>
      <w:r>
        <w:rPr>
          <w:rFonts w:cs="Arial" w:ascii="Arial" w:hAnsi="Arial"/>
          <w:sz w:val="26"/>
          <w:u w:val="single"/>
          <w:lang w:val="en-US"/>
        </w:rPr>
        <w:t>Success factors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 xml:space="preserve">Lobby the Secretariat of Energy and other Federal Government Officials. </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Obtain the support of ACEERA, AGEERA, other marketers and Gencos.</w:t>
      </w:r>
    </w:p>
    <w:p>
      <w:pPr>
        <w:pStyle w:val="Normal"/>
        <w:ind w:start="720" w:end="0"/>
        <w:jc w:val="both"/>
        <w:rPr/>
      </w:pPr>
      <w:r>
        <w:rPr>
          <w:rFonts w:cs="Arial" w:ascii="Arial" w:hAnsi="Arial"/>
          <w:sz w:val="26"/>
          <w:u w:val="single"/>
          <w:lang w:val="en-US"/>
        </w:rPr>
        <w:t>Cost</w:t>
      </w:r>
      <w:r>
        <w:rPr>
          <w:rFonts w:cs="Arial" w:ascii="Arial" w:hAnsi="Arial"/>
          <w:sz w:val="26"/>
          <w:lang w:val="en-US"/>
        </w:rPr>
        <w:t>: 60 hours/year of regulatory work.</w:t>
      </w:r>
    </w:p>
    <w:p>
      <w:pPr>
        <w:pStyle w:val="Normal"/>
        <w:ind w:start="720" w:end="0"/>
        <w:jc w:val="both"/>
        <w:rPr/>
      </w:pPr>
      <w:r>
        <w:rPr>
          <w:rFonts w:cs="Arial" w:ascii="Arial" w:hAnsi="Arial"/>
          <w:sz w:val="26"/>
          <w:u w:val="single"/>
          <w:lang w:val="en-US"/>
        </w:rPr>
        <w:t>Hurdles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State governments will oppose to this, since will loose income.</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color w:val="FF0000"/>
          <w:sz w:val="26"/>
          <w:u w:val="single"/>
        </w:rPr>
        <w:t>We do not have resources to lobby State Governments.</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Distributors will reject any proposal that increase marketers’ competitiveness.</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Enron image in the market has been deteriorated.</w:t>
      </w:r>
    </w:p>
    <w:p>
      <w:pPr>
        <w:pStyle w:val="Normal"/>
        <w:jc w:val="both"/>
        <w:rPr>
          <w:rFonts w:ascii="Arial" w:hAnsi="Arial" w:cs="Arial"/>
          <w:sz w:val="26"/>
          <w:lang w:val="en-US"/>
        </w:rPr>
      </w:pPr>
      <w:r>
        <w:rPr>
          <w:rFonts w:cs="Arial" w:ascii="Arial" w:hAnsi="Arial"/>
          <w:sz w:val="26"/>
          <w:lang w:val="en-US"/>
        </w:rPr>
      </w:r>
    </w:p>
    <w:p>
      <w:pPr>
        <w:pStyle w:val="Normal"/>
        <w:ind w:start="720" w:end="0"/>
        <w:jc w:val="both"/>
        <w:rPr/>
      </w:pPr>
      <w:r>
        <w:rPr>
          <w:rFonts w:cs="Arial" w:ascii="Arial" w:hAnsi="Arial"/>
          <w:b/>
          <w:sz w:val="26"/>
          <w:lang w:val="en-US"/>
        </w:rPr>
        <w:t>Increase the knowledge of the power sector.</w:t>
      </w:r>
      <w:r>
        <w:rPr>
          <w:rFonts w:cs="Arial" w:ascii="Arial" w:hAnsi="Arial"/>
          <w:sz w:val="26"/>
          <w:lang w:val="en-US"/>
        </w:rPr>
        <w:t xml:space="preserve"> This has been requested to the regulatory group in the feedback process</w:t>
      </w:r>
    </w:p>
    <w:p>
      <w:pPr>
        <w:pStyle w:val="Normal"/>
        <w:ind w:start="720" w:end="0"/>
        <w:jc w:val="both"/>
        <w:rPr>
          <w:rFonts w:ascii="Arial" w:hAnsi="Arial" w:cs="Arial"/>
          <w:sz w:val="26"/>
          <w:u w:val="single"/>
          <w:lang w:val="en-US"/>
        </w:rPr>
      </w:pPr>
      <w:r>
        <w:rPr>
          <w:rFonts w:cs="Arial" w:ascii="Arial" w:hAnsi="Arial"/>
          <w:sz w:val="26"/>
          <w:u w:val="single"/>
          <w:lang w:val="en-US"/>
        </w:rPr>
      </w:r>
    </w:p>
    <w:p>
      <w:pPr>
        <w:pStyle w:val="Normal"/>
        <w:ind w:start="720" w:end="0"/>
        <w:jc w:val="both"/>
        <w:rPr/>
      </w:pPr>
      <w:r>
        <w:rPr>
          <w:rFonts w:cs="Arial" w:ascii="Arial" w:hAnsi="Arial"/>
          <w:sz w:val="26"/>
          <w:u w:val="single"/>
          <w:lang w:val="en-US"/>
        </w:rPr>
        <w:t>Value of the goal for Enron</w:t>
      </w:r>
      <w:r>
        <w:rPr>
          <w:rFonts w:cs="Arial" w:ascii="Arial" w:hAnsi="Arial"/>
          <w:sz w:val="26"/>
          <w:lang w:val="en-US"/>
        </w:rPr>
        <w:t>: to be determined by Julián</w:t>
      </w:r>
    </w:p>
    <w:p>
      <w:pPr>
        <w:pStyle w:val="Normal"/>
        <w:ind w:start="720" w:end="0"/>
        <w:jc w:val="both"/>
        <w:rPr/>
      </w:pPr>
      <w:r>
        <w:rPr>
          <w:rFonts w:cs="Arial" w:ascii="Arial" w:hAnsi="Arial"/>
          <w:sz w:val="26"/>
          <w:u w:val="single"/>
          <w:lang w:val="en-US"/>
        </w:rPr>
        <w:t>Success factors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Be allowed to allocate time to this task.</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Interaction with commercial and legal team members.</w:t>
      </w:r>
    </w:p>
    <w:p>
      <w:pPr>
        <w:pStyle w:val="Normal"/>
        <w:ind w:start="720" w:end="0"/>
        <w:jc w:val="both"/>
        <w:rPr/>
      </w:pPr>
      <w:r>
        <w:rPr>
          <w:rFonts w:cs="Arial" w:ascii="Arial" w:hAnsi="Arial"/>
          <w:sz w:val="26"/>
          <w:u w:val="single"/>
          <w:lang w:val="en-US"/>
        </w:rPr>
        <w:t>Cost</w:t>
      </w:r>
      <w:r>
        <w:rPr>
          <w:rFonts w:cs="Arial" w:ascii="Arial" w:hAnsi="Arial"/>
          <w:sz w:val="26"/>
          <w:lang w:val="en-US"/>
        </w:rPr>
        <w:t>: 180 hours/year of regulatory work.</w:t>
      </w:r>
    </w:p>
    <w:p>
      <w:pPr>
        <w:pStyle w:val="Normal"/>
        <w:ind w:start="720" w:end="0"/>
        <w:jc w:val="both"/>
        <w:rPr/>
      </w:pPr>
      <w:r>
        <w:rPr>
          <w:rFonts w:cs="Arial" w:ascii="Arial" w:hAnsi="Arial"/>
          <w:sz w:val="26"/>
          <w:u w:val="single"/>
          <w:lang w:val="en-US"/>
        </w:rPr>
        <w:t>Hurdles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In practice, this goal is never a priority.</w:t>
      </w:r>
    </w:p>
    <w:p>
      <w:pPr>
        <w:pStyle w:val="Normal"/>
        <w:jc w:val="both"/>
        <w:rPr>
          <w:rFonts w:ascii="Arial" w:hAnsi="Arial" w:cs="Arial"/>
          <w:sz w:val="26"/>
          <w:lang w:val="en-US"/>
        </w:rPr>
      </w:pPr>
      <w:r>
        <w:rPr>
          <w:rFonts w:cs="Arial" w:ascii="Arial" w:hAnsi="Arial"/>
          <w:sz w:val="26"/>
          <w:lang w:val="en-US"/>
        </w:rPr>
      </w:r>
    </w:p>
    <w:p>
      <w:pPr>
        <w:pStyle w:val="Normal"/>
        <w:jc w:val="both"/>
        <w:rPr>
          <w:rFonts w:ascii="Arial" w:hAnsi="Arial" w:cs="Arial"/>
          <w:b/>
          <w:sz w:val="26"/>
          <w:u w:val="single"/>
          <w:lang w:val="en-US"/>
        </w:rPr>
      </w:pPr>
      <w:r>
        <w:rPr>
          <w:rFonts w:cs="Arial" w:ascii="Arial" w:hAnsi="Arial"/>
          <w:b/>
          <w:sz w:val="26"/>
          <w:u w:val="single"/>
          <w:lang w:val="en-US"/>
        </w:rPr>
        <w:t>MEDIUM PRIORITY OBJECTIVES</w:t>
      </w:r>
    </w:p>
    <w:p>
      <w:pPr>
        <w:pStyle w:val="Normal"/>
        <w:jc w:val="both"/>
        <w:rPr>
          <w:rFonts w:ascii="Arial" w:hAnsi="Arial" w:cs="Arial"/>
          <w:b/>
          <w:sz w:val="26"/>
          <w:u w:val="single"/>
          <w:lang w:val="en-US"/>
        </w:rPr>
      </w:pPr>
      <w:r>
        <w:rPr>
          <w:rFonts w:cs="Arial" w:ascii="Arial" w:hAnsi="Arial"/>
          <w:b/>
          <w:sz w:val="26"/>
          <w:u w:val="single"/>
          <w:lang w:val="en-US"/>
        </w:rPr>
      </w:r>
    </w:p>
    <w:p>
      <w:pPr>
        <w:pStyle w:val="Normal"/>
        <w:tabs>
          <w:tab w:val="left" w:pos="720" w:leader="none"/>
        </w:tabs>
        <w:ind w:hanging="360" w:start="720" w:end="0"/>
        <w:jc w:val="both"/>
        <w:rPr/>
      </w:pPr>
      <w:r>
        <w:rPr>
          <w:rFonts w:cs="Symbol" w:ascii="Symbol" w:hAnsi="Symbol"/>
          <w:sz w:val="26"/>
          <w:lang w:val="en-US"/>
        </w:rPr>
        <w:tab/>
      </w:r>
      <w:r>
        <w:rPr>
          <w:rFonts w:cs="Arial" w:ascii="Arial" w:hAnsi="Arial"/>
          <w:b/>
          <w:sz w:val="26"/>
          <w:u w:val="single"/>
          <w:lang w:val="en-US"/>
        </w:rPr>
        <w:t>Daily fuel declaration.</w:t>
      </w:r>
      <w:r>
        <w:rPr>
          <w:rFonts w:cs="Arial" w:ascii="Arial" w:hAnsi="Arial"/>
          <w:sz w:val="26"/>
          <w:lang w:val="en-US"/>
        </w:rPr>
        <w:t xml:space="preserve"> Current rules establish a seasonal fuel declaration. Resolution 545, that was planned to be applicable in May 2001, establishes that fuel declaration would become weekly. However, Resolution 545 was recently abolished. </w:t>
      </w:r>
    </w:p>
    <w:p>
      <w:pPr>
        <w:pStyle w:val="Normal"/>
        <w:tabs>
          <w:tab w:val="left" w:pos="720" w:leader="none"/>
        </w:tabs>
        <w:ind w:hanging="360" w:start="720" w:end="0"/>
        <w:jc w:val="both"/>
        <w:rPr>
          <w:rFonts w:ascii="Arial" w:hAnsi="Arial" w:cs="Arial"/>
          <w:sz w:val="26"/>
          <w:lang w:val="en-US"/>
        </w:rPr>
      </w:pPr>
      <w:r>
        <w:rPr>
          <w:rFonts w:cs="Arial" w:ascii="Arial" w:hAnsi="Arial"/>
          <w:sz w:val="26"/>
          <w:lang w:val="en-US"/>
        </w:rPr>
        <w:tab/>
      </w:r>
    </w:p>
    <w:p>
      <w:pPr>
        <w:pStyle w:val="Normal"/>
        <w:ind w:start="720" w:end="0"/>
        <w:jc w:val="both"/>
        <w:rPr/>
      </w:pPr>
      <w:r>
        <w:rPr>
          <w:rFonts w:cs="Arial" w:ascii="Arial" w:hAnsi="Arial"/>
          <w:sz w:val="26"/>
          <w:u w:val="single"/>
          <w:lang w:val="en-US"/>
        </w:rPr>
        <w:t>Value of the goal for Enron</w:t>
      </w:r>
      <w:r>
        <w:rPr>
          <w:rFonts w:cs="Arial" w:ascii="Arial" w:hAnsi="Arial"/>
          <w:sz w:val="26"/>
          <w:lang w:val="en-US"/>
        </w:rPr>
        <w:t>: to be determined by Julián</w:t>
      </w:r>
    </w:p>
    <w:p>
      <w:pPr>
        <w:pStyle w:val="Normal"/>
        <w:ind w:start="720" w:end="0"/>
        <w:jc w:val="both"/>
        <w:rPr/>
      </w:pPr>
      <w:r>
        <w:rPr>
          <w:rFonts w:cs="Arial" w:ascii="Arial" w:hAnsi="Arial"/>
          <w:sz w:val="26"/>
          <w:u w:val="single"/>
          <w:lang w:val="en-US"/>
        </w:rPr>
        <w:t>Success factors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Lobby the Secretariat of Energy and CAMMESA.</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Obtain the support of ACEERA, AGEERA, other marketers and Gencos.</w:t>
      </w:r>
    </w:p>
    <w:p>
      <w:pPr>
        <w:pStyle w:val="Normal"/>
        <w:ind w:start="720" w:end="0"/>
        <w:jc w:val="both"/>
        <w:rPr/>
      </w:pPr>
      <w:r>
        <w:rPr>
          <w:rFonts w:cs="Arial" w:ascii="Arial" w:hAnsi="Arial"/>
          <w:sz w:val="26"/>
          <w:u w:val="single"/>
          <w:lang w:val="en-US"/>
        </w:rPr>
        <w:t>Cost</w:t>
      </w:r>
      <w:r>
        <w:rPr>
          <w:rFonts w:cs="Arial" w:ascii="Arial" w:hAnsi="Arial"/>
          <w:sz w:val="26"/>
          <w:lang w:val="en-US"/>
        </w:rPr>
        <w:t>: 40 hours/year of regulatory work.</w:t>
      </w:r>
    </w:p>
    <w:p>
      <w:pPr>
        <w:pStyle w:val="Normal"/>
        <w:ind w:start="720" w:end="0"/>
        <w:jc w:val="both"/>
        <w:rPr/>
      </w:pPr>
      <w:r>
        <w:rPr>
          <w:rFonts w:cs="Arial" w:ascii="Arial" w:hAnsi="Arial"/>
          <w:sz w:val="26"/>
          <w:u w:val="single"/>
          <w:lang w:val="en-US"/>
        </w:rPr>
        <w:t>Hurdles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California’s crisis</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CAMMESA will argue that their systems are not ready to handle daily fuel declarations.</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Secretariat of Energy has just prevented the reduction in the term of declaration</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Enron image in the market has been deteriorated.</w:t>
      </w:r>
    </w:p>
    <w:p>
      <w:pPr>
        <w:pStyle w:val="Normal"/>
        <w:ind w:start="720" w:end="0"/>
        <w:jc w:val="both"/>
        <w:rPr>
          <w:rFonts w:ascii="Arial" w:hAnsi="Arial" w:cs="Arial"/>
          <w:sz w:val="26"/>
          <w:lang w:val="en-US"/>
        </w:rPr>
      </w:pPr>
      <w:r>
        <w:rPr>
          <w:rFonts w:cs="Arial" w:ascii="Arial" w:hAnsi="Arial"/>
          <w:sz w:val="26"/>
          <w:lang w:val="en-US"/>
        </w:rPr>
      </w:r>
    </w:p>
    <w:p>
      <w:pPr>
        <w:pStyle w:val="Normal"/>
        <w:tabs>
          <w:tab w:val="left" w:pos="720" w:leader="none"/>
        </w:tabs>
        <w:ind w:hanging="360" w:start="720" w:end="0"/>
        <w:jc w:val="both"/>
        <w:rPr/>
      </w:pPr>
      <w:r>
        <w:rPr>
          <w:rFonts w:cs="Symbol" w:ascii="Symbol" w:hAnsi="Symbol"/>
          <w:sz w:val="26"/>
          <w:lang w:val="en-US"/>
        </w:rPr>
        <w:tab/>
      </w:r>
      <w:r>
        <w:rPr>
          <w:rFonts w:cs="Arial" w:ascii="Arial" w:hAnsi="Arial"/>
          <w:b/>
          <w:sz w:val="26"/>
          <w:u w:val="single"/>
          <w:lang w:val="en-US"/>
        </w:rPr>
        <w:t>Reduce Paperwork with CAMMESA.</w:t>
      </w:r>
      <w:r>
        <w:rPr>
          <w:rFonts w:cs="Arial" w:ascii="Arial" w:hAnsi="Arial"/>
          <w:sz w:val="26"/>
          <w:lang w:val="en-US"/>
        </w:rPr>
        <w:t xml:space="preserve"> Create consensus among market agents of the need and opportunity to increase the efficiency of CAMMESA filling and reporting process in terms of required paper work, required notaries, potential electronic filling system and shorted time requirements in advance of actual delivery.</w:t>
      </w:r>
    </w:p>
    <w:p>
      <w:pPr>
        <w:pStyle w:val="Normal"/>
        <w:jc w:val="both"/>
        <w:rPr>
          <w:rFonts w:ascii="Arial" w:hAnsi="Arial" w:cs="Arial"/>
          <w:sz w:val="26"/>
          <w:lang w:val="en-US"/>
        </w:rPr>
      </w:pPr>
      <w:r>
        <w:rPr>
          <w:rFonts w:cs="Arial" w:ascii="Arial" w:hAnsi="Arial"/>
          <w:sz w:val="26"/>
          <w:lang w:val="en-US"/>
        </w:rPr>
      </w:r>
    </w:p>
    <w:p>
      <w:pPr>
        <w:pStyle w:val="Normal"/>
        <w:ind w:start="720" w:end="0"/>
        <w:jc w:val="both"/>
        <w:rPr/>
      </w:pPr>
      <w:r>
        <w:rPr>
          <w:rFonts w:cs="Arial" w:ascii="Arial" w:hAnsi="Arial"/>
          <w:sz w:val="26"/>
          <w:u w:val="single"/>
          <w:lang w:val="en-US"/>
        </w:rPr>
        <w:t>Value of the goal for Enron</w:t>
      </w:r>
      <w:r>
        <w:rPr>
          <w:rFonts w:cs="Arial" w:ascii="Arial" w:hAnsi="Arial"/>
          <w:sz w:val="26"/>
          <w:lang w:val="en-US"/>
        </w:rPr>
        <w:t>: to be determined by Julián</w:t>
      </w:r>
    </w:p>
    <w:p>
      <w:pPr>
        <w:pStyle w:val="Normal"/>
        <w:ind w:start="720" w:end="0"/>
        <w:jc w:val="both"/>
        <w:rPr/>
      </w:pPr>
      <w:r>
        <w:rPr>
          <w:rFonts w:cs="Arial" w:ascii="Arial" w:hAnsi="Arial"/>
          <w:sz w:val="26"/>
          <w:u w:val="single"/>
          <w:lang w:val="en-US"/>
        </w:rPr>
        <w:t>Success factors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Lobby the Secretariat of Energy and CAMMESA.</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Obtain the support of ACEERA, AGEERA, AGUEERA other marketers, Gencos and Large Users.</w:t>
      </w:r>
    </w:p>
    <w:p>
      <w:pPr>
        <w:pStyle w:val="Normal"/>
        <w:ind w:start="720" w:end="0"/>
        <w:jc w:val="both"/>
        <w:rPr/>
      </w:pPr>
      <w:r>
        <w:rPr>
          <w:rFonts w:cs="Arial" w:ascii="Arial" w:hAnsi="Arial"/>
          <w:sz w:val="26"/>
          <w:u w:val="single"/>
          <w:lang w:val="en-US"/>
        </w:rPr>
        <w:t>Cost</w:t>
      </w:r>
      <w:r>
        <w:rPr>
          <w:rFonts w:cs="Arial" w:ascii="Arial" w:hAnsi="Arial"/>
          <w:sz w:val="26"/>
          <w:lang w:val="en-US"/>
        </w:rPr>
        <w:t>: 40 hours/year of regulatory work.</w:t>
      </w:r>
    </w:p>
    <w:p>
      <w:pPr>
        <w:pStyle w:val="Normal"/>
        <w:ind w:start="720" w:end="0"/>
        <w:jc w:val="both"/>
        <w:rPr/>
      </w:pPr>
      <w:r>
        <w:rPr>
          <w:rFonts w:cs="Arial" w:ascii="Arial" w:hAnsi="Arial"/>
          <w:sz w:val="26"/>
          <w:u w:val="single"/>
          <w:lang w:val="en-US"/>
        </w:rPr>
        <w:t>Hurdles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The regulatory framework allows CAMMESA to ask for the information currently requested.</w:t>
      </w:r>
    </w:p>
    <w:p>
      <w:pPr>
        <w:pStyle w:val="Normal"/>
        <w:numPr>
          <w:ilvl w:val="0"/>
          <w:numId w:val="1"/>
        </w:numPr>
        <w:tabs>
          <w:tab w:val="clear" w:pos="720"/>
          <w:tab w:val="left" w:pos="1080" w:leader="none"/>
        </w:tabs>
        <w:ind w:hanging="360" w:start="1080" w:end="0"/>
        <w:jc w:val="both"/>
        <w:rPr>
          <w:rFonts w:ascii="Arial" w:hAnsi="Arial" w:cs="Arial"/>
          <w:color w:val="FF0000"/>
          <w:sz w:val="26"/>
          <w:u w:val="single"/>
          <w:lang w:val="en-US"/>
        </w:rPr>
      </w:pPr>
      <w:r>
        <w:rPr>
          <w:rFonts w:cs="Arial" w:ascii="Arial" w:hAnsi="Arial"/>
          <w:color w:val="FF0000"/>
          <w:sz w:val="26"/>
          <w:u w:val="single"/>
          <w:lang w:val="en-US"/>
        </w:rPr>
        <w:t>We have been one of the stronger advocates for higher information available in the industry. It would be contradictory if we refuse to provide the information requested to us. This kind of request would reduce Enron’s credibility and would put under suspicion Enron’s transactions.</w:t>
      </w:r>
    </w:p>
    <w:p>
      <w:pPr>
        <w:pStyle w:val="Normal"/>
        <w:numPr>
          <w:ilvl w:val="0"/>
          <w:numId w:val="1"/>
        </w:numPr>
        <w:tabs>
          <w:tab w:val="clear" w:pos="720"/>
          <w:tab w:val="left" w:pos="1080" w:leader="none"/>
        </w:tabs>
        <w:ind w:hanging="360" w:start="1080" w:end="0"/>
        <w:jc w:val="both"/>
        <w:rPr>
          <w:rFonts w:ascii="Arial" w:hAnsi="Arial" w:cs="Arial"/>
          <w:color w:val="FF0000"/>
          <w:sz w:val="26"/>
          <w:u w:val="single"/>
          <w:lang w:val="en-US"/>
        </w:rPr>
      </w:pPr>
      <w:r>
        <w:rPr>
          <w:rFonts w:cs="Arial" w:ascii="Arial" w:hAnsi="Arial"/>
          <w:color w:val="FF0000"/>
          <w:sz w:val="26"/>
          <w:u w:val="single"/>
          <w:lang w:val="en-US"/>
        </w:rPr>
        <w:t xml:space="preserve">We currently require our customers to submit legal documents certified by a public notary. ¿How are we going to explain to CAMMESA that is inefficient what they request form us, if we are requesting the same thing from our customers?   </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Enron image in the market has been deteriorated.</w:t>
      </w:r>
    </w:p>
    <w:p>
      <w:pPr>
        <w:pStyle w:val="Normal"/>
        <w:jc w:val="both"/>
        <w:rPr>
          <w:rFonts w:ascii="Arial" w:hAnsi="Arial" w:cs="Arial"/>
          <w:sz w:val="26"/>
          <w:lang w:val="en-US"/>
        </w:rPr>
      </w:pPr>
      <w:r>
        <w:rPr>
          <w:rFonts w:cs="Arial" w:ascii="Arial" w:hAnsi="Arial"/>
          <w:sz w:val="26"/>
          <w:lang w:val="en-US"/>
        </w:rPr>
      </w:r>
    </w:p>
    <w:p>
      <w:pPr>
        <w:pStyle w:val="Normal"/>
        <w:tabs>
          <w:tab w:val="left" w:pos="720" w:leader="none"/>
        </w:tabs>
        <w:ind w:hanging="360" w:start="720" w:end="0"/>
        <w:jc w:val="both"/>
        <w:rPr/>
      </w:pPr>
      <w:r>
        <w:rPr>
          <w:rFonts w:cs="Symbol" w:ascii="Symbol" w:hAnsi="Symbol"/>
          <w:sz w:val="26"/>
          <w:lang w:val="en-US"/>
        </w:rPr>
        <w:tab/>
      </w:r>
      <w:r>
        <w:rPr>
          <w:rFonts w:cs="Arial" w:ascii="Arial" w:hAnsi="Arial"/>
          <w:b/>
          <w:sz w:val="26"/>
          <w:u w:val="single"/>
          <w:lang w:val="en-US"/>
        </w:rPr>
        <w:t>Active participation in ACEERA and AGEERA.</w:t>
      </w:r>
      <w:r>
        <w:rPr>
          <w:rFonts w:cs="Arial" w:ascii="Arial" w:hAnsi="Arial"/>
          <w:sz w:val="26"/>
          <w:lang w:val="en-US"/>
        </w:rPr>
        <w:t xml:space="preserve"> Represents Enron’s interest in both associations and use this presence as a tool to advocate for our ideas, and to create consensus among market participant of the need of changes in current rules.</w:t>
      </w:r>
    </w:p>
    <w:p>
      <w:pPr>
        <w:pStyle w:val="Normal"/>
        <w:jc w:val="both"/>
        <w:rPr>
          <w:rFonts w:ascii="Arial" w:hAnsi="Arial" w:cs="Arial"/>
          <w:sz w:val="26"/>
          <w:lang w:val="en-US"/>
        </w:rPr>
      </w:pPr>
      <w:r>
        <w:rPr>
          <w:rFonts w:cs="Arial" w:ascii="Arial" w:hAnsi="Arial"/>
          <w:sz w:val="26"/>
          <w:lang w:val="en-US"/>
        </w:rPr>
      </w:r>
    </w:p>
    <w:p>
      <w:pPr>
        <w:pStyle w:val="Normal"/>
        <w:ind w:start="720" w:end="0"/>
        <w:jc w:val="both"/>
        <w:rPr/>
      </w:pPr>
      <w:r>
        <w:rPr>
          <w:rFonts w:cs="Arial" w:ascii="Arial" w:hAnsi="Arial"/>
          <w:sz w:val="26"/>
          <w:u w:val="single"/>
          <w:lang w:val="en-US"/>
        </w:rPr>
        <w:t>Value of the goal for Enron</w:t>
      </w:r>
      <w:r>
        <w:rPr>
          <w:rFonts w:cs="Arial" w:ascii="Arial" w:hAnsi="Arial"/>
          <w:sz w:val="26"/>
          <w:lang w:val="en-US"/>
        </w:rPr>
        <w:t>: to be determined by Julián</w:t>
      </w:r>
    </w:p>
    <w:p>
      <w:pPr>
        <w:pStyle w:val="Normal"/>
        <w:ind w:start="720" w:end="0"/>
        <w:jc w:val="both"/>
        <w:rPr/>
      </w:pPr>
      <w:r>
        <w:rPr>
          <w:rFonts w:cs="Arial" w:ascii="Arial" w:hAnsi="Arial"/>
          <w:sz w:val="26"/>
          <w:u w:val="single"/>
          <w:lang w:val="en-US"/>
        </w:rPr>
        <w:t>Success factors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Support and collaboration from the commercial and legal team.</w:t>
      </w:r>
    </w:p>
    <w:p>
      <w:pPr>
        <w:pStyle w:val="Normal"/>
        <w:ind w:start="720" w:end="0"/>
        <w:jc w:val="both"/>
        <w:rPr/>
      </w:pPr>
      <w:r>
        <w:rPr>
          <w:rFonts w:cs="Arial" w:ascii="Arial" w:hAnsi="Arial"/>
          <w:sz w:val="26"/>
          <w:u w:val="single"/>
          <w:lang w:val="en-US"/>
        </w:rPr>
        <w:t>Cost</w:t>
      </w:r>
      <w:r>
        <w:rPr>
          <w:rFonts w:cs="Arial" w:ascii="Arial" w:hAnsi="Arial"/>
          <w:sz w:val="26"/>
          <w:lang w:val="en-US"/>
        </w:rPr>
        <w:t>:  80 hours/year of regulatory work.</w:t>
      </w:r>
    </w:p>
    <w:p>
      <w:pPr>
        <w:pStyle w:val="Normal"/>
        <w:ind w:start="720" w:end="0"/>
        <w:jc w:val="both"/>
        <w:rPr/>
      </w:pPr>
      <w:r>
        <w:rPr>
          <w:rFonts w:cs="Arial" w:ascii="Arial" w:hAnsi="Arial"/>
          <w:sz w:val="26"/>
          <w:u w:val="single"/>
          <w:lang w:val="en-US"/>
        </w:rPr>
        <w:t>Hurdles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 xml:space="preserve">Enron will allocate only one person to regulatory &amp; government affairs. This person should focus on ACEERA. </w:t>
      </w:r>
      <w:r>
        <w:rPr>
          <w:rFonts w:cs="Arial" w:ascii="Arial" w:hAnsi="Arial"/>
          <w:color w:val="FF0000"/>
          <w:sz w:val="26"/>
          <w:u w:val="single"/>
          <w:lang w:val="en-US"/>
        </w:rPr>
        <w:t>A commercial or legal team member should represent Enron in AGEERA.</w:t>
      </w:r>
    </w:p>
    <w:p>
      <w:pPr>
        <w:pStyle w:val="Normal"/>
        <w:jc w:val="both"/>
        <w:rPr>
          <w:rFonts w:ascii="Arial" w:hAnsi="Arial" w:cs="Arial"/>
          <w:sz w:val="26"/>
          <w:lang w:val="en-US"/>
        </w:rPr>
      </w:pPr>
      <w:r>
        <w:rPr>
          <w:rFonts w:cs="Arial" w:ascii="Arial" w:hAnsi="Arial"/>
          <w:sz w:val="26"/>
          <w:lang w:val="en-US"/>
        </w:rPr>
      </w:r>
    </w:p>
    <w:p>
      <w:pPr>
        <w:pStyle w:val="Normal"/>
        <w:tabs>
          <w:tab w:val="left" w:pos="720" w:leader="none"/>
        </w:tabs>
        <w:ind w:hanging="360" w:start="720" w:end="0"/>
        <w:jc w:val="both"/>
        <w:rPr/>
      </w:pPr>
      <w:r>
        <w:rPr>
          <w:rFonts w:cs="Symbol" w:ascii="Symbol" w:hAnsi="Symbol"/>
          <w:sz w:val="26"/>
          <w:lang w:val="en-US"/>
        </w:rPr>
        <w:tab/>
      </w:r>
      <w:r>
        <w:rPr>
          <w:rFonts w:cs="Arial" w:ascii="Arial" w:hAnsi="Arial"/>
          <w:b/>
          <w:sz w:val="26"/>
          <w:u w:val="single"/>
          <w:lang w:val="en-US"/>
        </w:rPr>
        <w:t>Improve our relationship with the Secretariat of Energy, ENRE and CAMMESA</w:t>
      </w:r>
      <w:r>
        <w:rPr>
          <w:rFonts w:cs="Arial" w:ascii="Arial" w:hAnsi="Arial"/>
          <w:sz w:val="26"/>
          <w:lang w:val="en-US"/>
        </w:rPr>
        <w:t>.</w:t>
      </w:r>
    </w:p>
    <w:p>
      <w:pPr>
        <w:pStyle w:val="Normal"/>
        <w:jc w:val="both"/>
        <w:rPr>
          <w:rFonts w:ascii="Arial" w:hAnsi="Arial" w:cs="Arial"/>
          <w:sz w:val="26"/>
          <w:lang w:val="en-US"/>
        </w:rPr>
      </w:pPr>
      <w:r>
        <w:rPr>
          <w:rFonts w:cs="Arial" w:ascii="Arial" w:hAnsi="Arial"/>
          <w:sz w:val="26"/>
          <w:lang w:val="en-US"/>
        </w:rPr>
      </w:r>
    </w:p>
    <w:p>
      <w:pPr>
        <w:pStyle w:val="Normal"/>
        <w:ind w:start="720" w:end="0"/>
        <w:jc w:val="both"/>
        <w:rPr/>
      </w:pPr>
      <w:r>
        <w:rPr>
          <w:rFonts w:cs="Arial" w:ascii="Arial" w:hAnsi="Arial"/>
          <w:sz w:val="26"/>
          <w:u w:val="single"/>
          <w:lang w:val="en-US"/>
        </w:rPr>
        <w:t>Value of the goal for Enron</w:t>
      </w:r>
      <w:r>
        <w:rPr>
          <w:rFonts w:cs="Arial" w:ascii="Arial" w:hAnsi="Arial"/>
          <w:sz w:val="26"/>
          <w:lang w:val="en-US"/>
        </w:rPr>
        <w:t>: to be determined by Julián</w:t>
      </w:r>
    </w:p>
    <w:p>
      <w:pPr>
        <w:pStyle w:val="Normal"/>
        <w:ind w:start="720" w:end="0"/>
        <w:jc w:val="both"/>
        <w:rPr/>
      </w:pPr>
      <w:r>
        <w:rPr>
          <w:rFonts w:cs="Arial" w:ascii="Arial" w:hAnsi="Arial"/>
          <w:sz w:val="26"/>
          <w:u w:val="single"/>
          <w:lang w:val="en-US"/>
        </w:rPr>
        <w:t>Success factors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Support and collaboration from the commercial and legal team.</w:t>
      </w:r>
    </w:p>
    <w:p>
      <w:pPr>
        <w:pStyle w:val="Normal"/>
        <w:ind w:start="720" w:end="0"/>
        <w:jc w:val="both"/>
        <w:rPr/>
      </w:pPr>
      <w:r>
        <w:rPr>
          <w:rFonts w:cs="Arial" w:ascii="Arial" w:hAnsi="Arial"/>
          <w:sz w:val="26"/>
          <w:u w:val="single"/>
          <w:lang w:val="en-US"/>
        </w:rPr>
        <w:t>Cost</w:t>
      </w:r>
      <w:r>
        <w:rPr>
          <w:rFonts w:cs="Arial" w:ascii="Arial" w:hAnsi="Arial"/>
          <w:sz w:val="26"/>
          <w:lang w:val="en-US"/>
        </w:rPr>
        <w:t>:  60 hours/year of regulatory work.</w:t>
      </w:r>
    </w:p>
    <w:p>
      <w:pPr>
        <w:pStyle w:val="Normal"/>
        <w:ind w:start="720" w:end="0"/>
        <w:jc w:val="both"/>
        <w:rPr/>
      </w:pPr>
      <w:r>
        <w:rPr>
          <w:rFonts w:cs="Arial" w:ascii="Arial" w:hAnsi="Arial"/>
          <w:sz w:val="26"/>
          <w:u w:val="single"/>
          <w:lang w:val="en-US"/>
        </w:rPr>
        <w:t>Hurdles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Enron will allocate only one person to regulatory &amp; government affairs.</w:t>
      </w:r>
    </w:p>
    <w:p>
      <w:pPr>
        <w:pStyle w:val="Normal"/>
        <w:jc w:val="both"/>
        <w:rPr>
          <w:rFonts w:ascii="Arial" w:hAnsi="Arial" w:cs="Arial"/>
          <w:sz w:val="26"/>
          <w:lang w:val="en-US"/>
        </w:rPr>
      </w:pPr>
      <w:r>
        <w:rPr>
          <w:rFonts w:cs="Arial" w:ascii="Arial" w:hAnsi="Arial"/>
          <w:sz w:val="26"/>
          <w:lang w:val="en-US"/>
        </w:rPr>
      </w:r>
    </w:p>
    <w:p>
      <w:pPr>
        <w:pStyle w:val="Normal"/>
        <w:jc w:val="both"/>
        <w:rPr>
          <w:rFonts w:ascii="Arial" w:hAnsi="Arial" w:cs="Arial"/>
          <w:b/>
          <w:sz w:val="26"/>
          <w:u w:val="single"/>
          <w:lang w:val="en-US"/>
        </w:rPr>
      </w:pPr>
      <w:r>
        <w:rPr>
          <w:rFonts w:cs="Arial" w:ascii="Arial" w:hAnsi="Arial"/>
          <w:b/>
          <w:sz w:val="26"/>
          <w:u w:val="single"/>
          <w:lang w:val="en-US"/>
        </w:rPr>
        <w:t>LOW PRIORITY OBJECTIVES</w:t>
      </w:r>
    </w:p>
    <w:p>
      <w:pPr>
        <w:pStyle w:val="Normal"/>
        <w:jc w:val="both"/>
        <w:rPr>
          <w:rFonts w:ascii="Arial" w:hAnsi="Arial" w:cs="Arial"/>
          <w:b/>
          <w:sz w:val="26"/>
          <w:u w:val="single"/>
          <w:lang w:val="en-US"/>
        </w:rPr>
      </w:pPr>
      <w:r>
        <w:rPr>
          <w:rFonts w:cs="Arial" w:ascii="Arial" w:hAnsi="Arial"/>
          <w:b/>
          <w:sz w:val="26"/>
          <w:u w:val="single"/>
          <w:lang w:val="en-US"/>
        </w:rPr>
      </w:r>
    </w:p>
    <w:p>
      <w:pPr>
        <w:pStyle w:val="Normal"/>
        <w:tabs>
          <w:tab w:val="left" w:pos="720" w:leader="none"/>
        </w:tabs>
        <w:ind w:hanging="360" w:start="720" w:end="0"/>
        <w:jc w:val="both"/>
        <w:rPr/>
      </w:pPr>
      <w:r>
        <w:rPr>
          <w:rFonts w:cs="Symbol" w:ascii="Symbol" w:hAnsi="Symbol"/>
          <w:sz w:val="26"/>
          <w:lang w:val="en-US"/>
        </w:rPr>
        <w:tab/>
      </w:r>
      <w:r>
        <w:rPr>
          <w:rFonts w:cs="Arial" w:ascii="Arial" w:hAnsi="Arial"/>
          <w:b/>
          <w:sz w:val="26"/>
          <w:u w:val="single"/>
          <w:lang w:val="en-US"/>
        </w:rPr>
        <w:t>Changes in Dispatch Rules for the Pool (bilateral contracts).</w:t>
      </w:r>
      <w:r>
        <w:rPr>
          <w:rFonts w:cs="Arial" w:ascii="Arial" w:hAnsi="Arial"/>
          <w:sz w:val="26"/>
          <w:lang w:val="en-US"/>
        </w:rPr>
        <w:t xml:space="preserve"> Create consensus among market agents of the need for changes in the way that Gencos are called by the ISO to be dispatched. One alternative would be to introduce bilateral contracts and let the merit order just for the spot market. Other alternative would be to establish that all physical transactions will be done at the spot price, so this will force the parties to enter into financial agreements.</w:t>
      </w:r>
    </w:p>
    <w:p>
      <w:pPr>
        <w:pStyle w:val="Normal"/>
        <w:jc w:val="both"/>
        <w:rPr>
          <w:rFonts w:ascii="Arial" w:hAnsi="Arial" w:cs="Arial"/>
          <w:sz w:val="26"/>
          <w:lang w:val="en-US"/>
        </w:rPr>
      </w:pPr>
      <w:r>
        <w:rPr>
          <w:rFonts w:cs="Arial" w:ascii="Arial" w:hAnsi="Arial"/>
          <w:sz w:val="26"/>
          <w:lang w:val="en-US"/>
        </w:rPr>
      </w:r>
    </w:p>
    <w:p>
      <w:pPr>
        <w:pStyle w:val="Normal"/>
        <w:ind w:start="720" w:end="0"/>
        <w:jc w:val="both"/>
        <w:rPr/>
      </w:pPr>
      <w:r>
        <w:rPr>
          <w:rFonts w:cs="Arial" w:ascii="Arial" w:hAnsi="Arial"/>
          <w:sz w:val="26"/>
          <w:u w:val="single"/>
          <w:lang w:val="en-US"/>
        </w:rPr>
        <w:t>Value of the goal for Enron</w:t>
      </w:r>
      <w:r>
        <w:rPr>
          <w:rFonts w:cs="Arial" w:ascii="Arial" w:hAnsi="Arial"/>
          <w:sz w:val="26"/>
          <w:lang w:val="en-US"/>
        </w:rPr>
        <w:t>: to be determined by Julián</w:t>
      </w:r>
    </w:p>
    <w:p>
      <w:pPr>
        <w:pStyle w:val="Normal"/>
        <w:ind w:start="720" w:end="0"/>
        <w:jc w:val="both"/>
        <w:rPr/>
      </w:pPr>
      <w:r>
        <w:rPr>
          <w:rFonts w:cs="Arial" w:ascii="Arial" w:hAnsi="Arial"/>
          <w:sz w:val="26"/>
          <w:u w:val="single"/>
          <w:lang w:val="en-US"/>
        </w:rPr>
        <w:t>Success factors</w:t>
      </w:r>
      <w:r>
        <w:rPr>
          <w:rFonts w:cs="Arial" w:ascii="Arial" w:hAnsi="Arial"/>
          <w:sz w:val="26"/>
          <w:lang w:val="en-US"/>
        </w:rPr>
        <w:t>:</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Lobby the Secretariat of Energy and CAMMESA.</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Obtain the support of ACEERA, AGEERA, AGUEERA other marketers, Gencos and Large Users.</w:t>
      </w:r>
    </w:p>
    <w:p>
      <w:pPr>
        <w:pStyle w:val="Normal"/>
        <w:ind w:start="720" w:end="0"/>
        <w:jc w:val="both"/>
        <w:rPr/>
      </w:pPr>
      <w:r>
        <w:rPr>
          <w:rFonts w:cs="Arial" w:ascii="Arial" w:hAnsi="Arial"/>
          <w:sz w:val="26"/>
          <w:u w:val="single"/>
          <w:lang w:val="en-US"/>
        </w:rPr>
        <w:t>Cost</w:t>
      </w:r>
      <w:r>
        <w:rPr>
          <w:rFonts w:cs="Arial" w:ascii="Arial" w:hAnsi="Arial"/>
          <w:sz w:val="26"/>
          <w:lang w:val="en-US"/>
        </w:rPr>
        <w:t>:  40 hours/year of regulatory work.</w:t>
      </w:r>
    </w:p>
    <w:p>
      <w:pPr>
        <w:pStyle w:val="Normal"/>
        <w:ind w:start="720" w:end="0"/>
        <w:jc w:val="both"/>
        <w:rPr/>
      </w:pPr>
      <w:r>
        <w:rPr>
          <w:rFonts w:cs="Arial" w:ascii="Arial" w:hAnsi="Arial"/>
          <w:sz w:val="26"/>
          <w:u w:val="single"/>
          <w:lang w:val="en-US"/>
        </w:rPr>
        <w:t>Hurdles</w:t>
      </w:r>
      <w:r>
        <w:rPr>
          <w:rFonts w:cs="Arial" w:ascii="Arial" w:hAnsi="Arial"/>
          <w:sz w:val="26"/>
          <w:lang w:val="en-US"/>
        </w:rPr>
        <w:t>:</w:t>
      </w:r>
    </w:p>
    <w:p>
      <w:pPr>
        <w:pStyle w:val="Normal"/>
        <w:numPr>
          <w:ilvl w:val="0"/>
          <w:numId w:val="1"/>
        </w:numPr>
        <w:tabs>
          <w:tab w:val="clear" w:pos="720"/>
          <w:tab w:val="left" w:pos="1080" w:leader="none"/>
          <w:tab w:val="left" w:pos="2244" w:leader="none"/>
          <w:tab w:val="left" w:pos="4488" w:leader="none"/>
          <w:tab w:val="left" w:pos="6732" w:leader="none"/>
          <w:tab w:val="left" w:pos="8976" w:leader="none"/>
        </w:tabs>
        <w:ind w:hanging="360" w:start="1080" w:end="0"/>
        <w:jc w:val="both"/>
        <w:rPr>
          <w:rFonts w:ascii="Arial" w:hAnsi="Arial" w:cs="Arial"/>
          <w:sz w:val="26"/>
          <w:lang w:val="en-US"/>
        </w:rPr>
      </w:pPr>
      <w:r>
        <w:rPr>
          <w:rFonts w:cs="Arial" w:ascii="Arial" w:hAnsi="Arial"/>
          <w:sz w:val="26"/>
          <w:lang w:val="en-US"/>
        </w:rPr>
        <w:t>The Secretariat of Energy does not want to scare investors, implementing big changes in the rules.</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Distributors oppose to any measure toward competition</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California’s crisis.</w:t>
      </w:r>
    </w:p>
    <w:p>
      <w:pPr>
        <w:pStyle w:val="Normal"/>
        <w:numPr>
          <w:ilvl w:val="0"/>
          <w:numId w:val="1"/>
        </w:numPr>
        <w:tabs>
          <w:tab w:val="clear" w:pos="720"/>
          <w:tab w:val="left" w:pos="1080" w:leader="none"/>
        </w:tabs>
        <w:ind w:hanging="360" w:start="1080" w:end="0"/>
        <w:jc w:val="both"/>
        <w:rPr>
          <w:rFonts w:ascii="Arial" w:hAnsi="Arial" w:cs="Arial"/>
          <w:sz w:val="26"/>
          <w:lang w:val="en-US"/>
        </w:rPr>
      </w:pPr>
      <w:r>
        <w:rPr>
          <w:rFonts w:cs="Arial" w:ascii="Arial" w:hAnsi="Arial"/>
          <w:sz w:val="26"/>
          <w:lang w:val="en-US"/>
        </w:rPr>
        <w:t>Enron image in the market has been deteriorated.</w:t>
      </w:r>
    </w:p>
    <w:p>
      <w:pPr>
        <w:pStyle w:val="Normal"/>
        <w:tabs>
          <w:tab w:val="clear" w:pos="720"/>
          <w:tab w:val="left" w:pos="1080" w:leader="none"/>
        </w:tabs>
        <w:ind w:start="720" w:end="0"/>
        <w:jc w:val="both"/>
        <w:rPr>
          <w:rFonts w:ascii="Arial" w:hAnsi="Arial" w:cs="Arial"/>
          <w:sz w:val="26"/>
          <w:lang w:val="en-US"/>
        </w:rPr>
      </w:pPr>
      <w:r>
        <w:rPr>
          <w:rFonts w:cs="Arial" w:ascii="Arial" w:hAnsi="Arial"/>
          <w:sz w:val="26"/>
          <w:lang w:val="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0" w:hanging="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ES_tradnl"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2001-02-13T15:10:00Z</dcterms:created>
  <dc:creator>enron</dc:creator>
  <dc:description/>
  <dc:language>en-CA</dc:language>
  <cp:lastModifiedBy>enron</cp:lastModifiedBy>
  <cp:lastPrinted>2001-02-13T17:32:00Z</cp:lastPrinted>
  <dcterms:modified xsi:type="dcterms:W3CDTF">2001-02-13T15:10:00Z</dcterms:modified>
  <cp:revision>2</cp:revision>
  <dc:subject/>
  <dc:title>POWER REGULATORY OBJECTIVES FOR 2001</dc:title>
</cp:coreProperties>
</file>