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rPr>
          <w:sz w:val="32"/>
        </w:rPr>
      </w:pPr>
      <w:r>
        <w:rPr>
          <w:sz w:val="32"/>
        </w:rPr>
        <w:t>2001 ENRON STRATEGIC GOALS</w:t>
      </w:r>
    </w:p>
    <w:p>
      <w:pPr>
        <w:pStyle w:val="Normal"/>
        <w:jc w:val="both"/>
        <w:rPr>
          <w:sz w:val="32"/>
        </w:rPr>
      </w:pPr>
      <w:r>
        <w:rPr>
          <w:sz w:val="32"/>
        </w:rPr>
      </w:r>
    </w:p>
    <w:p>
      <w:pPr>
        <w:pStyle w:val="Subtitle"/>
        <w:rPr>
          <w:bdr w:val="single" w:sz="18" w:space="0" w:color="000000"/>
        </w:rPr>
      </w:pPr>
      <w:r>
        <w:rPr>
          <w:bdr w:val="single" w:sz="18" w:space="0" w:color="000000"/>
        </w:rPr>
        <w:t>Overall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Achieve earnings and funds flow targets included in the 2001 Plan.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Maintain premium valuation multiple for Enron.  Achieve total return to Enron’s shareholders in excess of its peer group and the S&amp;P 500 index.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Improve return on book equity to at least 13%.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/>
      </w:pPr>
      <w:r>
        <w:rPr/>
      </w:r>
    </w:p>
    <w:p>
      <w:pPr>
        <w:pStyle w:val="Subtitle"/>
        <w:rPr>
          <w:bdr w:val="single" w:sz="18" w:space="0" w:color="000000"/>
        </w:rPr>
      </w:pPr>
      <w:r>
        <w:rPr>
          <w:bdr w:val="single" w:sz="18" w:space="0" w:color="000000"/>
        </w:rPr>
        <w:t>Enron Wholesale Services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Achieve total energy volume growth of 20% in North America and 50% in Europe.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Procure a minimum of 20 new gas fired generation sites and 5 new coal generation sites.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Complete restructuring of the Sithe contract.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Establish profitability of Enron Credit and generate at least $50 million in Gross margin.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Close 4 significant structured transactions in Enron Metals and average 2500 transactions per day by the end of the year.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Resolve/restructure Dahbol and Cuiaba projects.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Sell $100 million of systems outsourcing services and software.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Complete 3 international and 2 domestic coal “stockpile” deals with power generators.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Establish a significant merchant position in paper and steel, moving at least 3 million tons of each product.  Create a vehicle to gain access to 500,000 tons/yr of market pulp.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Financially close at least one significant European power project.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Subtitle"/>
        <w:rPr>
          <w:bdr w:val="single" w:sz="18" w:space="0" w:color="000000"/>
        </w:rPr>
      </w:pPr>
      <w:r>
        <w:rPr>
          <w:bdr w:val="single" w:sz="18" w:space="0" w:color="000000"/>
        </w:rPr>
        <w:t>Enron Transportation Services Company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Complete construction of FGT’s Phase IV Expansion Project within the $250 million budget and place into service by May 1, 2001.</w:t>
      </w:r>
    </w:p>
    <w:p>
      <w:pPr>
        <w:pStyle w:val="Normal"/>
        <w:rPr>
          <w:sz w:val="24"/>
        </w:rPr>
      </w:pPr>
      <w:r>
        <w:rPr>
          <w:sz w:val="24"/>
        </w:rPr>
        <w:t xml:space="preserve">  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Obtain a final FERC certificate for FGT’s Phase V Project by the end of the second quarter, 2001, and commence construction.  Construction of the Sanford and Gulf Power Laterals should be completed by the fourth quarter, 2001.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Obtain the necessary market support and file a certificate for FGT’s Phase VI  Project by the end of the second quarter, 2001.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Complete NBPL’s Project 2000 and place into service by November 1, 2001. 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Develop or acquire new, earnings accretive business opportunities that result in new capital requirements of $200 million for NBP.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Identify and gain regulatory approval for 50 MMcf/D of new capacity on Transwestern.  Such capacity to be in-service by December 1, 2001.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Develop new business opportunities that will produce at least $15 million</w:t>
      </w:r>
      <w:r>
        <w:rPr/>
        <w:t xml:space="preserve"> </w:t>
      </w:r>
      <w:r>
        <w:rPr>
          <w:sz w:val="24"/>
        </w:rPr>
        <w:t>of recurring operating income by 2002.  New business opportunities will produce at least a 15% IRR.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Produce $10 million of income by monetizing the Sunniland Pipeline System and other FGT R-O-W that have broadband uses.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Finalize a new south-end business strategy for NNG and implement key action items by third quarter, 2001.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In conjunction with the ETS eBusiness Model, create a Market Services eBusiness strategy that extends and enhances our current capabilities by creating new eBusiness opportunities to increase revenue and/or improve efficiency.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Continue to expand the EnronOnline customer interface for ETS pipeline service offerings  (e.g., posting all FGT IT, TW Options.)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Develop a new contract system that provides the capability for interactive, real time contracting by the ETS pipelines where the customer interface is integrated with an electronic platform, i.e., EnronOnline.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Achieve safety record that ranks in the top quartile of the industry.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Subtitle"/>
        <w:rPr>
          <w:bdr w:val="single" w:sz="18" w:space="0" w:color="000000"/>
        </w:rPr>
      </w:pPr>
      <w:r>
        <w:rPr>
          <w:bdr w:val="single" w:sz="18" w:space="0" w:color="000000"/>
        </w:rPr>
        <w:t>Enron Energy Services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Grow revenues to $10 billion.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Sign contracts representing $30 billion of total contract value.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Achieve 15% ROIC.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Customer satisfaction: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ind w:firstLine="720" w:end="0"/>
        <w:rPr>
          <w:sz w:val="24"/>
        </w:rPr>
      </w:pPr>
      <w:r>
        <w:rPr>
          <w:sz w:val="24"/>
        </w:rPr>
        <w:t>» Increase number of customers above 4.0 referral target by 20%.</w:t>
      </w:r>
    </w:p>
    <w:p>
      <w:pPr>
        <w:pStyle w:val="Normal"/>
        <w:ind w:firstLine="720" w:end="0"/>
        <w:rPr>
          <w:sz w:val="24"/>
        </w:rPr>
      </w:pPr>
      <w:r>
        <w:rPr>
          <w:sz w:val="24"/>
        </w:rPr>
      </w:r>
    </w:p>
    <w:p>
      <w:pPr>
        <w:pStyle w:val="BodyTextIndent2"/>
        <w:rPr/>
      </w:pPr>
      <w:r>
        <w:rPr/>
        <w:t>»</w:t>
        <w:tab/>
        <w:t>Expand the Customer Satisfaction program to accommodate growing customer base.</w:t>
      </w:r>
    </w:p>
    <w:p>
      <w:pPr>
        <w:pStyle w:val="Normal"/>
        <w:tabs>
          <w:tab w:val="clear" w:pos="720"/>
          <w:tab w:val="left" w:pos="900" w:leader="none"/>
        </w:tabs>
        <w:ind w:hanging="180" w:start="900" w:end="0"/>
        <w:rPr>
          <w:sz w:val="24"/>
        </w:rPr>
      </w:pPr>
      <w:r>
        <w:rPr>
          <w:sz w:val="24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Subtitle"/>
        <w:keepNext w:val="true"/>
        <w:keepLines/>
        <w:rPr>
          <w:bdr w:val="single" w:sz="18" w:space="0" w:color="000000"/>
        </w:rPr>
      </w:pPr>
      <w:r>
        <w:rPr>
          <w:bdr w:val="single" w:sz="18" w:space="0" w:color="000000"/>
        </w:rPr>
        <w:t>Enron Broadband Services</w:t>
      </w:r>
    </w:p>
    <w:p>
      <w:pPr>
        <w:pStyle w:val="Normal"/>
        <w:keepNext w:val="true"/>
        <w:keepLines/>
        <w:jc w:val="both"/>
        <w:rPr/>
      </w:pPr>
      <w:r>
        <w:rPr/>
      </w:r>
    </w:p>
    <w:p>
      <w:pPr>
        <w:pStyle w:val="Normal"/>
        <w:keepNext w:val="true"/>
        <w:keepLines/>
        <w:numPr>
          <w:ilvl w:val="0"/>
          <w:numId w:val="2"/>
        </w:numPr>
        <w:rPr>
          <w:sz w:val="24"/>
        </w:rPr>
      </w:pPr>
      <w:r>
        <w:rPr>
          <w:sz w:val="24"/>
        </w:rPr>
        <w:t>Achieve volumetric targets for broadband intermediation (41,000 DS-3 months-- 55,000 Terabytes).</w:t>
      </w:r>
    </w:p>
    <w:p>
      <w:pPr>
        <w:pStyle w:val="Normal"/>
        <w:keepNext w:val="true"/>
        <w:keepLines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>Achieve critical mass in connectivity represented by deploying 35 total pooling points, including 8 international pooling points.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Demonstrate viability of flexible, reliable IP transport by delivery of 1,000 DS-3 months using EBS’ broadband operating system.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Achieve commercial targets for content services (over $1 billion in TCV).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Extend the content services commercial model by completing an international content distribution transaction.</w:t>
      </w:r>
    </w:p>
    <w:p>
      <w:pPr>
        <w:pStyle w:val="Normal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Demonstrate the commercial roll-out of the content delivery platform by delivery of 100,000 events and deploy the platform in 8 additional US cities. 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Demonstrate the flexibility of the content delivery platform by completing 2 cable distribution deals.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Subtitle"/>
        <w:rPr>
          <w:bdr w:val="single" w:sz="18" w:space="0" w:color="000000"/>
        </w:rPr>
      </w:pPr>
      <w:r>
        <w:rPr>
          <w:bdr w:val="single" w:sz="18" w:space="0" w:color="000000"/>
        </w:rPr>
      </w:r>
    </w:p>
    <w:p>
      <w:pPr>
        <w:pStyle w:val="Subtitle"/>
        <w:rPr>
          <w:bdr w:val="single" w:sz="18" w:space="0" w:color="000000"/>
        </w:rPr>
      </w:pPr>
      <w:r>
        <w:rPr>
          <w:bdr w:val="single" w:sz="18" w:space="0" w:color="000000"/>
        </w:rPr>
        <w:t xml:space="preserve">Corp. and Other </w:t>
      </w:r>
    </w:p>
    <w:p>
      <w:pPr>
        <w:pStyle w:val="Normal"/>
        <w:jc w:val="both"/>
        <w:rPr/>
      </w:pPr>
      <w:r>
        <w:rPr/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Outperform the BBB Bond Index.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Negotiate savings of $160 million from the Strategic Sourcing Initiative.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Web-enable the procurement through payment process.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Diversity source 15% of Enron’s impactable spend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Expansion of Enron media coverage: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BodyTextIndent2"/>
        <w:rPr/>
      </w:pPr>
      <w:r>
        <w:rPr/>
        <w:t>»</w:t>
        <w:tab/>
        <w:t>from feature stories to cover stories</w:t>
      </w:r>
    </w:p>
    <w:p>
      <w:pPr>
        <w:pStyle w:val="BodyTextIndent2"/>
        <w:rPr/>
      </w:pPr>
      <w:r>
        <w:rPr/>
      </w:r>
    </w:p>
    <w:p>
      <w:pPr>
        <w:pStyle w:val="BodyTextIndent2"/>
        <w:rPr/>
      </w:pPr>
      <w:r>
        <w:rPr/>
        <w:t>»</w:t>
        <w:tab/>
        <w:t>from coverage as “leading energy company” to coverage as “leading company”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Substantial progress toward open access in wholesale North American Power markets; acceleration of open access in European gas and power markets; early re-evaluation of Japanese electric market liberalization (prior to current 2003 deadline).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Commercialize one or more of the HR systems developed by Enron.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Implement “partnership model” across Enron.</w:t>
      </w:r>
    </w:p>
    <w:sectPr>
      <w:footerReference w:type="default" r:id="rId2"/>
      <w:type w:val="nextPage"/>
      <w:pgSz w:w="12240" w:h="15840"/>
      <w:pgMar w:left="1440" w:right="1440" w:gutter="0" w:header="0" w:top="720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3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.05pt;height:11.55pt;mso-wrap-distance-left:0pt;mso-wrap-distance-right:0pt;mso-wrap-distance-top:0pt;mso-wrap-distance-bottom:0pt;margin-top:0.05pt;mso-position-vertical-relative:text;margin-left:231.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3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spacing w:val="22"/>
      <w:kern w:val="2"/>
      <w:u w:val="single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color w:val="0000FF"/>
      <w:spacing w:val="22"/>
      <w:kern w:val="2"/>
      <w:u w:val="single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  <w:color w:val="auto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/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/>
  </w:style>
  <w:style w:type="character" w:styleId="WW8Num12z0">
    <w:name w:val="WW8Num12z0"/>
    <w:qFormat/>
    <w:rPr>
      <w:rFonts w:ascii="Symbol" w:hAnsi="Symbol" w:cs="Symbol"/>
      <w:color w:val="00000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/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/>
  </w:style>
  <w:style w:type="character" w:styleId="WW8NumSt2z0">
    <w:name w:val="WW8NumSt2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jc w:val="center"/>
    </w:pPr>
    <w:rPr>
      <w:b/>
      <w:spacing w:val="22"/>
      <w:kern w:val="2"/>
      <w:sz w:val="24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jc w:val="both"/>
    </w:pPr>
    <w:rPr>
      <w:b/>
      <w:bCs/>
      <w:sz w:val="28"/>
      <w:bdr w:val="single" w:sz="4" w:space="0" w:color="000000"/>
    </w:rPr>
  </w:style>
  <w:style w:type="paragraph" w:styleId="BodyTextIndent">
    <w:name w:val="Body Text Indent"/>
    <w:basedOn w:val="Normal"/>
    <w:pPr>
      <w:ind w:firstLine="720" w:start="0" w:end="0"/>
    </w:pPr>
    <w:rPr>
      <w:sz w:val="22"/>
    </w:rPr>
  </w:style>
  <w:style w:type="paragraph" w:styleId="BodyTextIndent2">
    <w:name w:val="Body Text Indent 2"/>
    <w:basedOn w:val="Normal"/>
    <w:qFormat/>
    <w:pPr>
      <w:tabs>
        <w:tab w:val="clear" w:pos="720"/>
        <w:tab w:val="left" w:pos="900" w:leader="none"/>
      </w:tabs>
      <w:ind w:hanging="180" w:start="900" w:end="0"/>
    </w:pPr>
    <w:rPr>
      <w:sz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2001-02-08T18:51:00Z</dcterms:created>
  <dc:creator>karen christine myer</dc:creator>
  <dc:description/>
  <dc:language>en-CA</dc:language>
  <cp:lastModifiedBy>mmcvick</cp:lastModifiedBy>
  <cp:lastPrinted>2001-02-08T15:55:00Z</cp:lastPrinted>
  <dcterms:modified xsi:type="dcterms:W3CDTF">2001-02-08T19:27:00Z</dcterms:modified>
  <cp:revision>7</cp:revision>
  <dc:subject/>
  <dc:title>2001 ENRON STRATEGIC GOALS</dc:title>
</cp:coreProperties>
</file>