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sz w:val="32"/>
        </w:rPr>
      </w:pPr>
      <w:r>
        <w:rPr>
          <w:sz w:val="32"/>
        </w:rPr>
        <w:t>2001 ENRON STRATEGIC GOALS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jc w:val="both"/>
        <w:rPr/>
      </w:pPr>
      <w:r>
        <w:rPr/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Enron Wholesale Services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total energy volume growth of 20% in North America and 50% in Europe.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Procure a minimum of 20 new gas fired generation sites and 5 new coal generation sites.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restructuring of the Sithe contract.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Establish profitability of Enron Credit and generate at least $50 million in Gross margin.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Close 4 significant structured transactions in Enron Metals and average 2500 transactions per day by the end of the year.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Resolve/restructure Dahbol and Cuiaba projects.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Sell $100 million of systems outsourcing services and software.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3 international and 2 domestic coal “stockpile” deals with power generators.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Close and deliver at least 10 spot LNG cargos.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Establish a significant merchant position in paper and steel, moving at least 3 million tons of each product.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Create a vehicle to gain access to 500,000 tons/yr of market pulp.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Financially close at least one significant European power project.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Enron Energy Services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retail EBIT of $269 million.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Grow revenues to $10 billion.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Sign contracts representing $30 billion of total contract value.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15% ROIC.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Customer satisfaction: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» Increase number of customers above 4.0 referral target by 20%.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»</w:t>
        <w:tab/>
        <w:t>Expand the Customer Satisfaction program to accommodate growing customer base.</w:t>
      </w:r>
    </w:p>
    <w:p>
      <w:pPr>
        <w:pStyle w:val="Normal"/>
        <w:tabs>
          <w:tab w:val="clear" w:pos="720"/>
          <w:tab w:val="left" w:pos="900" w:leader="none"/>
        </w:tabs>
        <w:ind w:hanging="180" w:start="900" w:end="0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keepLines/>
        <w:numPr>
          <w:ilvl w:val="0"/>
          <w:numId w:val="3"/>
        </w:numPr>
        <w:rPr>
          <w:sz w:val="24"/>
          <w:szCs w:val="12"/>
        </w:rPr>
      </w:pPr>
      <w:r>
        <w:rPr>
          <w:sz w:val="24"/>
        </w:rPr>
        <w:t xml:space="preserve">Employee satisfaction and management development: </w:t>
      </w:r>
    </w:p>
    <w:p>
      <w:pPr>
        <w:pStyle w:val="Normal"/>
        <w:keepNext w:val="true"/>
        <w:keepLines/>
        <w:ind w:start="360" w:end="0"/>
        <w:rPr>
          <w:sz w:val="24"/>
          <w:szCs w:val="12"/>
        </w:rPr>
      </w:pPr>
      <w:r>
        <w:rPr>
          <w:sz w:val="24"/>
          <w:szCs w:val="12"/>
        </w:rPr>
      </w:r>
    </w:p>
    <w:p>
      <w:pPr>
        <w:pStyle w:val="BodyTextIndent2"/>
        <w:keepNext w:val="true"/>
        <w:keepLines/>
        <w:rPr/>
      </w:pPr>
      <w:r>
        <w:rPr/>
        <w:t>»</w:t>
        <w:tab/>
        <w:t xml:space="preserve">Drive continued improvement on “Pulse” survey’s 5 core communication questions to achieve Enron’s 2001 targets of 60% on 4 questions and 50% on the intra-department communication question. </w:t>
      </w:r>
    </w:p>
    <w:p>
      <w:pPr>
        <w:pStyle w:val="BodyTextIndent2"/>
        <w:rPr/>
      </w:pPr>
      <w:r>
        <w:rPr/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» Train “next generation leaders” for EES in “Executive Impact and Influence II”.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Diversity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00" w:leader="none"/>
        </w:tabs>
        <w:ind w:hanging="180" w:start="900" w:end="0"/>
        <w:rPr>
          <w:sz w:val="24"/>
        </w:rPr>
      </w:pPr>
      <w:r>
        <w:rPr>
          <w:sz w:val="24"/>
        </w:rPr>
        <w:t>» Achieve 20% improvement increase in MWBE procurement from 2000 spend (Goal: 12%).</w:t>
      </w:r>
    </w:p>
    <w:p>
      <w:pPr>
        <w:pStyle w:val="Normal"/>
        <w:tabs>
          <w:tab w:val="clear" w:pos="720"/>
          <w:tab w:val="left" w:pos="900" w:leader="none"/>
        </w:tabs>
        <w:ind w:hanging="180" w:start="90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00" w:leader="none"/>
        </w:tabs>
        <w:ind w:hanging="180" w:start="900" w:end="0"/>
        <w:rPr>
          <w:sz w:val="24"/>
        </w:rPr>
      </w:pPr>
      <w:r>
        <w:rPr>
          <w:sz w:val="24"/>
        </w:rPr>
        <w:t>»</w:t>
        <w:tab/>
        <w:t>Implement integrated human diversity program to improve AAP underutilized job groupings by a minimum of 20% for twelve-month period beginning January 2001 and ending December 2001.</w:t>
      </w:r>
    </w:p>
    <w:p>
      <w:pPr>
        <w:pStyle w:val="Normal"/>
        <w:tabs>
          <w:tab w:val="clear" w:pos="720"/>
          <w:tab w:val="left" w:pos="900" w:leader="none"/>
        </w:tabs>
        <w:ind w:hanging="180" w:start="90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Enron Broadband Services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volumetric targets for broadband intermediation (41,000 DS-3 months-- 55,000 Terabytes).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Achieve critical mass in connectivity represented by deploying 35 total pooling points, including 8 international pooling points.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Demonstrate viability of flexible, reliable IP transport by delivery of 1,000 DS-3 months using EBS’ broadband operating system.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commercial targets for content services (over $1 billion in TCV).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Extend the content services commercial model by completing an international content distribution transaction.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Demonstrate the commercial roll-out of the content delivery platform by delivery of 100,000 events and deploy the platform in 8 additional US cities.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Demonstrate the flexibility of the content delivery platform by completing 2 cable distribution deals.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/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Enron Transportation Services Company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construction of FGT’s Phase IV Expansion Project within the $250 million budget and place into service by May 1, 2001.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Obtain a final FERC certificate for FGT’s Phase V Project by the end of the second quarter, 2001, and commence construction.  Construction of the Sanford and Gulf Power Laterals should be completed by the fourth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Obtain the necessary market support and file a certificate for FGT’s Phase VI  Project by the end of the second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NBPL’s Project 2000 and place into service by November 1,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or acquire new, earnings accretive business opportunities that result in new capital requirements of $200 million for NBP.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Identify and gain regulatory approval for 50 MMcf/D of new capacity on Transwestern.  Such capacity to be in-service by December 1,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Implement FAS 133 with no adverse impact to income.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new business opportunities that will produce at least $15 million</w:t>
      </w:r>
      <w:r>
        <w:rPr/>
        <w:t xml:space="preserve"> </w:t>
      </w:r>
      <w:r>
        <w:rPr>
          <w:sz w:val="24"/>
        </w:rPr>
        <w:t>of recurring operating income by 2002.  New business opportunities will produce at least a 15% IRR.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Produce $10 million of income by monetizing the Sunniland Pipeline System and other FGT R-O-W that have broadband uses.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Determine the viability of a TW Expansion and, if viable, file a certificate by second quarter, 2001.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Finalize a new south-end business strategy for NNG and implement key action items by third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Continue to partner with Information Technology to achieve innovative, cost-effective customer service strategies.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 conjunction with the ETS eBusiness Model, create a Market Services eBusiness strategy that extends and enhances our current capabilities by creating new eBusiness opportunities to increase revenue and/or improve efficiency.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Continue to expand the EnronOnline customer interface for ETS pipeline service offerings  (e.g., posting all FGT IT, TW Options.)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a new contract system that provides the capability for interactive, real time contracting by the ETS pipelines where the customer interface is integrated with an electronic platform, i.e.,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Implement the contract system for FGT by the end of the third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Implement the contract system for NNG by the end of the fourth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Produce $3 million of incremental margins/expense reductions from new and expanded   services from ETS’ Operations group.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safety record that ranks in the top quartile of the industry.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$5.8 million of incremental revenue/expense reductions from combining ETS/EOTT operations.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a strategy for monetizing NNG’s Equivalent Unit Risk Account balance by fourth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Resolve Order No. 637 proceedings without an incremental outlay in systems expenditures.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Work towards adoption of pipeline safety rules that allow appropriate range of testing technologies.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Resolve the Navajo R-O-W issue via settlement agreement by June 1, 2001, or commence litigation.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Corp.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earnings and funds flow targets included in the 2001 Plan.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Maintain premium valuation multiple for Enron.  Achieve total return to Enron’s shareholders in excess of its peer group and the S&amp;P 500 index.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Improve return on book equity to at least 13%.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Outperform the BBB Bond Index.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Negotiate savings of $160 million from the Strategic Sourcing Initiative.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Web-enable the procurement through payment process.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b/>
          <w:bCs/>
          <w:sz w:val="24"/>
        </w:rPr>
      </w:pPr>
      <w:r>
        <w:rPr>
          <w:sz w:val="24"/>
        </w:rPr>
        <w:t xml:space="preserve">Diversity source 15% of Enron’s impactable spend </w:t>
      </w:r>
      <w:r>
        <w:rPr>
          <w:b/>
          <w:bCs/>
          <w:sz w:val="24"/>
        </w:rPr>
        <w:t>[Does this mean:  increase MWBE spend to 15% of spending under the control of the strategic sourcing initiative?]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Expansion of Enron media coverage: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»</w:t>
        <w:tab/>
        <w:t>from feature stories to cover stories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»</w:t>
        <w:tab/>
        <w:t>from coverage as “leading energy company” to coverage as “leading company”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Substantial progress toward open access in wholesale North American Power markets; acceleration of open access in European gas and power markets; early re-evaluation of Japanese electric market liberalization (prior to current 2003 deadline).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Commercialize one or more of the HR systems developed by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Implement “partnership model” across Enron.</w:t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92"/>
        </w:tabs>
        <w:ind w:start="792" w:hanging="432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pacing w:val="22"/>
      <w:kern w:val="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color w:val="0000FF"/>
      <w:spacing w:val="22"/>
      <w:kern w:val="2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  <w:color w:val="00000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pacing w:val="22"/>
      <w:kern w:val="2"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both"/>
    </w:pPr>
    <w:rPr>
      <w:b/>
      <w:bCs/>
      <w:sz w:val="28"/>
      <w:bdr w:val="single" w:sz="4" w:space="0" w:color="000000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900" w:leader="none"/>
      </w:tabs>
      <w:ind w:hanging="180" w:start="90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2001-02-07T21:49:00Z</dcterms:created>
  <dc:creator>karen christine myer</dc:creator>
  <dc:description/>
  <dc:language>en-CA</dc:language>
  <cp:lastModifiedBy>mmcvick</cp:lastModifiedBy>
  <cp:lastPrinted>2001-02-07T18:14:00Z</cp:lastPrinted>
  <dcterms:modified xsi:type="dcterms:W3CDTF">2001-02-07T21:49:00Z</dcterms:modified>
  <cp:revision>2</cp:revision>
  <dc:subject/>
  <dc:title>2001 ENRON STRATEGIC GOALS</dc:title>
</cp:coreProperties>
</file>