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/>
      </w:pPr>
      <w:r>
        <w:rPr/>
        <w:t>2001 ENRON STRATEGIC GOALS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  <w:t>OVERALL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Achieve earnings and funds flow targets included in the 2001 Plan.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Maintain premium valuation multiple for Enron.  Achieve total return to Enron’s shareholders in excess of its peer group and the S&amp;P 500 index.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Improve return on book equity to at least 13%.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Head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/>
      </w:pPr>
      <w:r>
        <w:rPr/>
        <w:t>2001 ENRON STRATEGIC GOALS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Heading8"/>
        <w:ind w:hanging="0" w:star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>Finance</w:t>
      </w:r>
    </w:p>
    <w:p>
      <w:pPr>
        <w:pStyle w:val="Normal"/>
        <w:ind w:start="144" w:end="0"/>
        <w:jc w:val="both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Outperform the BBB Bond Index.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Create merchant investment hedging vehicle to reduce downside earnings exposure.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Provide platform(s) for increased capital velocity to achieve return on equity target.</w:t>
      </w:r>
    </w:p>
    <w:p>
      <w:pPr>
        <w:pStyle w:val="Normal"/>
        <w:numPr>
          <w:ilvl w:val="0"/>
          <w:numId w:val="0"/>
        </w:numPr>
        <w:ind w:hanging="360" w:start="3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/>
      </w:pPr>
      <w:r>
        <w:rPr/>
        <w:t>2001 ENRON STRATEGIC GOALS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>accounting</w:t>
      </w:r>
    </w:p>
    <w:p>
      <w:pPr>
        <w:pStyle w:val="Normal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8"/>
        <w:ind w:hanging="0" w:star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>strategic sourcing</w:t>
      </w:r>
    </w:p>
    <w:p>
      <w:pPr>
        <w:pStyle w:val="Normal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Negotiate savings of $160 million from the Strategic Sourcing Initiative.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Web-enable the procurement through payment process.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Diversity source 15% of Enron’s impactable spend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504"/>
        </w:tabs>
        <w:ind w:start="288" w:hanging="144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pacing w:val="22"/>
      <w:kern w:val="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color w:val="0000FF"/>
      <w:spacing w:val="22"/>
      <w:kern w:val="2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pacing w:val="22"/>
      <w:kern w:val="2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2001-02-06T13:21:00Z</dcterms:created>
  <dc:creator>karen christine myer</dc:creator>
  <dc:description/>
  <dc:language>en-CA</dc:language>
  <cp:lastModifiedBy>karen christine myer</cp:lastModifiedBy>
  <cp:lastPrinted>2001-02-06T10:10:00Z</cp:lastPrinted>
  <dcterms:modified xsi:type="dcterms:W3CDTF">2001-02-06T13:44:00Z</dcterms:modified>
  <cp:revision>1</cp:revision>
  <dc:subject/>
  <dc:title>2001 ENRON STRATEGIC GOALS</dc:title>
</cp:coreProperties>
</file>