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r>
    </w:p>
    <w:p>
      <w:pPr>
        <w:pStyle w:val="Normal"/>
        <w:jc w:val="center"/>
        <w:rPr>
          <w:rFonts w:ascii="Times New Roman" w:hAnsi="Times New Roman" w:cs="Times New Roman"/>
          <w:sz w:val="22"/>
        </w:rPr>
      </w:pPr>
      <w:r>
        <w:rPr>
          <w:rFonts w:cs="Times New Roman" w:ascii="Times New Roman" w:hAnsi="Times New Roman"/>
          <w:sz w:val="22"/>
        </w:rPr>
        <w:t>June [___], 2000</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Globalview Software, Inc.</w:t>
      </w:r>
    </w:p>
    <w:p>
      <w:pPr>
        <w:pStyle w:val="Normal"/>
        <w:jc w:val="both"/>
        <w:rPr>
          <w:rFonts w:ascii="Times New Roman" w:hAnsi="Times New Roman" w:cs="Times New Roman"/>
          <w:sz w:val="22"/>
        </w:rPr>
      </w:pPr>
      <w:r>
        <w:rPr>
          <w:rFonts w:cs="Times New Roman" w:ascii="Times New Roman" w:hAnsi="Times New Roman"/>
          <w:sz w:val="22"/>
        </w:rPr>
        <w:t>223 West Jackson Boulevard, Suite 610</w:t>
      </w:r>
    </w:p>
    <w:p>
      <w:pPr>
        <w:pStyle w:val="Normal"/>
        <w:jc w:val="both"/>
        <w:rPr>
          <w:rFonts w:ascii="Times New Roman" w:hAnsi="Times New Roman" w:cs="Times New Roman"/>
          <w:sz w:val="22"/>
        </w:rPr>
      </w:pPr>
      <w:r>
        <w:rPr>
          <w:rFonts w:cs="Times New Roman" w:ascii="Times New Roman" w:hAnsi="Times New Roman"/>
          <w:sz w:val="22"/>
        </w:rPr>
        <w:t>Chicago, Illinois 60606</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ab/>
        <w:t>Attn:  Jon B. Olson</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Globalview Software, Inc. ("GSI") and Enron Net Works, LLC and/or its affiliates ("Enron") are prepared to furnish each other with information in connection with (i) a proposed transaction  relating to the sale and implementation of software or other products and (ii) a potential investment by Enron in GSI (collectively, the “Transaction”), which information is confidential or otherwise generally not available to the public (the "Confidential Information"). The term "Confidential Information" shall, with respect to the receiving party, not include information (a) as is or may become generally available to the public, (b) known to the receiving party at the time of disclosure or is thereafter acquired at any time from a source other than the other party hereto that was not known to the receiving party to be prohibited from making disclosure or (c) is hereafter independently developed by the receiving party.</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the Confidential Information to each other, the parties agree as follows:</w:t>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Neither party will disclose the Confidential Information furnished to it pursuant to this agreement without the prior written consent of the disclosing party, other than to its directors, officers and employees, as well as those individual representatives, lenders, counsel and affiliates and each of their respective individual directors, officers, employees, representatives, lenders, counsel and affiliates, if any, to whom each party desires to disclose such Confidential Information for the purposes of evaluation, negotiation or consummation of the proposed Transaction (those individuals who are directly or indirectly furnished Confidential Information by a party are collectively referred to herein as the "Representatives").  A party may also disclose the Confidential Information in order to comply with any applicable law, order, regulation or ruling.</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Except as otherwise provided herein, neither party will use the Confidential Information other than for the purpose of evaluating, negotiating and consummating the proposed Transaction. The Confidential Information that is written, except for that portion that may be found in analyses, compilations, studies or other documents prepared by or for a party, will be returned to the other party immediately upon such other party’s request and no copies shall be retained by such party or its Representatives.  That portion of the Confidential Information that is found in analyses, compilations, studies or other documents prepared by or for a party, the Confidential Information that is oral and the Confidential Information that is not so requested or returned will be held by such party and kept subject to the terms of this agreement or destroyed.</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understands that the other party will endeavor to include in the information furnished hereunder materials that it believes to be reliable and relevant for the purposes of the other party’s evaluation, that neither party makes any representation or warranty as to the accuracy or completeness of any information that is so provided, and that neither party nor any Representative of such party shall have any liability to the other party or its Representatives resulting from the use of such information by such party or its Representatives.  For purposes of this section 3, "information" is deemed to include all information furnished under this agreement.</w:t>
      </w:r>
    </w:p>
    <w:p>
      <w:pPr>
        <w:pStyle w:val="Normal"/>
        <w:numPr>
          <w:ilvl w:val="0"/>
          <w:numId w:val="0"/>
        </w:numPr>
        <w:ind w:hanging="720" w:start="1440" w:end="144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Each party shall have the right to apply to a court to enjoin any breach of this agreement.  Excepting the right of a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It is expressly agreed that the arbitrators shall have no authority to award punitive or exemplary damages, the parties hereby waiving their right, if any, to recover punitive or exemplary damages, either in arbitration or in litigation.</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jc w:val="both"/>
        <w:rPr>
          <w:rFonts w:ascii="Times New Roman" w:hAnsi="Times New Roman" w:cs="Times New Roman"/>
          <w:sz w:val="22"/>
        </w:rPr>
      </w:pPr>
      <w:r>
        <w:rPr>
          <w:rFonts w:cs="Times New Roman" w:ascii="Times New Roman" w:hAnsi="Times New Roman"/>
          <w:sz w:val="22"/>
        </w:rPr>
        <w:t>THIS AGREEMENT SHALL BE GOVERNED BY AND CONSTRUED IN ACCORDANCE WITH THE LAWS OF THE STATE OF TEXAS WITHOUT REGARD TO THE PRINCIPLES OF CONFLICTS OF LAWS THEREOF.</w:t>
      </w:r>
    </w:p>
    <w:p>
      <w:pPr>
        <w:pStyle w:val="Normal"/>
        <w:numPr>
          <w:ilvl w:val="0"/>
          <w:numId w:val="0"/>
        </w:numPr>
        <w:ind w:hanging="0" w:start="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tabs>
          <w:tab w:val="clear" w:pos="720"/>
          <w:tab w:val="left" w:pos="0" w:leader="none"/>
        </w:tabs>
        <w:jc w:val="both"/>
        <w:rPr>
          <w:rFonts w:ascii="Times New Roman" w:hAnsi="Times New Roman" w:cs="Times New Roman"/>
          <w:sz w:val="22"/>
        </w:rPr>
      </w:pPr>
      <w:r>
        <w:rPr>
          <w:rFonts w:cs="Times New Roman" w:ascii="Times New Roman" w:hAnsi="Times New Roman"/>
          <w:sz w:val="22"/>
        </w:rPr>
        <w:t>The parties hereto agree that no employment, agency, joint venture, partnership or fiduciary relationship shall be deemed to exist or arise between them with respect to the proposed Transaction.   GSI understands that Enron may be engaged in businesses that are similar or related to that of GSI, and may have activities that are competitive with GSI.  In addition, GSI understands that Enron may be or become investors in companies with similar, related or competitive business to that of GSI.  GSI acknowledges and agrees that Enron shall not be restricted or proscribed by the terms of this Agreement or the relationship between the parties from engaging in their various business activities or investing in similar or related businesses to that of GSI; provided, however, nothing in this sentence or the immediately preceding sentence shall limit Enron’s confidentiality obligations set forth in this Agreement.</w:t>
      </w:r>
    </w:p>
    <w:p>
      <w:pPr>
        <w:pStyle w:val="Normal"/>
        <w:keepNext w:val="true"/>
        <w:numPr>
          <w:ilvl w:val="0"/>
          <w:numId w:val="2"/>
        </w:numPr>
        <w:spacing w:before="0" w:after="120"/>
        <w:jc w:val="both"/>
        <w:rPr>
          <w:rFonts w:ascii="Times New Roman" w:hAnsi="Times New Roman" w:cs="Times New Roman"/>
          <w:sz w:val="22"/>
        </w:rPr>
      </w:pPr>
      <w:r>
        <w:rPr>
          <w:rFonts w:cs="Times New Roman" w:ascii="Times New Roman" w:hAnsi="Times New Roman"/>
          <w:sz w:val="22"/>
        </w:rPr>
        <w:t>The provisions of Sections 1 and 2 hereof shall terminate on the date two years from the date of this letter.</w:t>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r>
    </w:p>
    <w:p>
      <w:pPr>
        <w:pStyle w:val="Normal"/>
        <w:keepNext w:val="true"/>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ind w:start="5040" w:end="0"/>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ENRON NET WORKS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jc w:val="both"/>
        <w:rPr>
          <w:rFonts w:ascii="Times New Roman" w:hAnsi="Times New Roman" w:cs="Times New Roman"/>
          <w:sz w:val="22"/>
        </w:rPr>
      </w:pPr>
      <w:r>
        <w:rPr>
          <w:rFonts w:cs="Times New Roman" w:ascii="Times New Roman" w:hAnsi="Times New Roman"/>
          <w:sz w:val="22"/>
        </w:rPr>
        <w:t>date first written above:</w:t>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keepNext w:val="true"/>
        <w:jc w:val="both"/>
        <w:rPr>
          <w:rFonts w:ascii="Times New Roman" w:hAnsi="Times New Roman" w:cs="Times New Roman"/>
          <w:sz w:val="22"/>
        </w:rPr>
      </w:pPr>
      <w:r>
        <w:rPr>
          <w:rFonts w:cs="Times New Roman" w:ascii="Times New Roman" w:hAnsi="Times New Roman"/>
          <w:sz w:val="22"/>
        </w:rPr>
        <w:t>GLOBALVIEW SOFTWARE, INC.</w:t>
      </w:r>
    </w:p>
    <w:p>
      <w:pPr>
        <w:pStyle w:val="Normal"/>
        <w:keepNext w:val="true"/>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/mnt/main-storage/datasets/enron-docs/doc/Globalview-648861903bb721ffcdda6b6cd975860f9bbfd52083508a39090f29c5b88f2e9c.DOC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Globalview Software, Inc.</w:t>
    </w:r>
  </w:p>
  <w:p>
    <w:pPr>
      <w:pStyle w:val="Header"/>
      <w:rPr>
        <w:rFonts w:ascii="Times New Roman" w:hAnsi="Times New Roman" w:cs="Times New Roman"/>
        <w:sz w:val="22"/>
      </w:rPr>
    </w:pPr>
    <w:r>
      <w:rPr>
        <w:rFonts w:cs="Times New Roman" w:ascii="Times New Roman" w:hAnsi="Times New Roman"/>
        <w:sz w:val="22"/>
      </w:rPr>
      <w:t>June [___], 2000</w:t>
    </w:r>
  </w:p>
  <w:p>
    <w:pPr>
      <w:pStyle w:val="Header"/>
      <w:rPr/>
    </w:pPr>
    <w:r>
      <w:rPr>
        <w:rFonts w:cs="Times New Roman" w:ascii="Times New Roman" w:hAnsi="Times New Roman"/>
        <w:sz w:val="22"/>
      </w:rPr>
      <w:t xml:space="preserve">Page -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3</w:t>
    </w:r>
    <w:r>
      <w:rPr>
        <w:sz w:val="22"/>
        <w:rFonts w:cs="Times New Roman" w:ascii="Times New Roman" w:hAnsi="Times New Roman"/>
      </w:rPr>
      <w:fldChar w:fldCharType="end"/>
    </w:r>
    <w:r>
      <w:rPr>
        <w:rFonts w:cs="Times New Roman" w:ascii="Times New Roman" w:hAnsi="Times New Roman"/>
        <w:sz w:val="22"/>
      </w:rPr>
      <w:t xml:space="preserve"> -</w:t>
    </w:r>
  </w:p>
  <w:p>
    <w:pPr>
      <w:pStyle w:val="Header"/>
      <w:rPr>
        <w:rFonts w:ascii="Times New Roman" w:hAnsi="Times New Roman" w:cs="Times New Roman"/>
        <w:sz w:val="24"/>
      </w:rPr>
    </w:pPr>
    <w:r>
      <w:rPr>
        <w:rFonts w:cs="Times New Roman" w:ascii="Times New Roman" w:hAnsi="Times New Roman"/>
        <w:sz w:val="24"/>
      </w:rPr>
    </w:r>
  </w:p>
  <w:p>
    <w:pPr>
      <w:pStyle w:val="Header"/>
      <w:rPr>
        <w:rFonts w:ascii="Times New Roman" w:hAnsi="Times New Roman" w:cs="Times New Roman"/>
        <w:sz w:val="24"/>
      </w:rPr>
    </w:pPr>
    <w:r>
      <w:rPr>
        <w:rFonts w:cs="Times New Roman" w:ascii="Times New Roman" w:hAnsi="Times New Roman"/>
        <w:sz w:val="24"/>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360" w:hanging="360"/>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paragraph" w:styleId="BodyTextIndent">
    <w:name w:val="Body Text Indent"/>
    <w:basedOn w:val="Normal"/>
    <w:pPr>
      <w:tabs>
        <w:tab w:val="left" w:pos="-1440" w:leader="none"/>
        <w:tab w:val="left" w:pos="-720" w:leader="none"/>
        <w:tab w:val="left" w:pos="1"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 w:val="left" w:pos="17280" w:leader="none"/>
        <w:tab w:val="left" w:pos="18000" w:leader="none"/>
        <w:tab w:val="left" w:pos="18720" w:leader="none"/>
      </w:tabs>
      <w:ind w:hanging="0" w:start="360" w:end="0"/>
      <w:jc w:val="both"/>
    </w:pPr>
    <w:rPr>
      <w:rFonts w:ascii="Times New Roman" w:hAnsi="Times New Roman" w:cs="Times New Roman"/>
      <w:sz w:val="22"/>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2000-06-09T12:30:00Z</dcterms:created>
  <dc:creator>ECT</dc:creator>
  <dc:description/>
  <dc:language>en-CA</dc:language>
  <cp:lastModifiedBy>Jason Michael Peters</cp:lastModifiedBy>
  <cp:lastPrinted>2000-06-09T15:06:00Z</cp:lastPrinted>
  <dcterms:modified xsi:type="dcterms:W3CDTF">2000-06-09T17:36:00Z</dcterms:modified>
  <cp:revision>8</cp:revision>
  <dc:subject/>
  <dc:title>Reciprocal Confidentiality Agreement</dc:title>
</cp:coreProperties>
</file>