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The objective of this document is to ensure that the correct level of detail is captured to enable the accurate processing of transactions within Retail Markets and with Retail and Wholesale counterparts.  With this document we should be able to ensure that both tactical and strategic solutions are addressing the basic transaction processing data source requirements.</w:t>
      </w:r>
    </w:p>
    <w:p>
      <w:pPr>
        <w:pStyle w:val="Normal"/>
        <w:rPr/>
      </w:pPr>
      <w:r>
        <w:rPr/>
      </w:r>
    </w:p>
    <w:p>
      <w:pPr>
        <w:pStyle w:val="Normal"/>
        <w:rPr/>
      </w:pPr>
      <w:r>
        <w:rPr/>
        <w:t>This document’s contents are related to the “Global Retail Solution Diagram” (Flowchart). The current level of this document is still at a 20,000 ft level and needs to be drilled down into further detail.</w:t>
      </w:r>
    </w:p>
    <w:p>
      <w:pPr>
        <w:pStyle w:val="Normal"/>
        <w:rPr/>
      </w:pPr>
      <w:r>
        <w:rPr/>
      </w:r>
    </w:p>
    <w:p>
      <w:pPr>
        <w:pStyle w:val="Normal"/>
        <w:rPr/>
      </w:pPr>
      <w:r>
        <w:rPr/>
      </w:r>
    </w:p>
    <w:p>
      <w:pPr>
        <w:pStyle w:val="Normal"/>
        <w:tabs>
          <w:tab w:val="clear" w:pos="720"/>
          <w:tab w:val="left" w:pos="3120" w:leader="none"/>
        </w:tabs>
        <w:rPr/>
      </w:pPr>
      <w:r>
        <w:rPr>
          <w:u w:val="single"/>
        </w:rPr>
        <w:t>Data Capture Requirements</w:t>
      </w:r>
      <w:r>
        <w:rPr/>
        <w:t>:</w:t>
      </w:r>
    </w:p>
    <w:p>
      <w:pPr>
        <w:pStyle w:val="Normal"/>
        <w:tabs>
          <w:tab w:val="clear" w:pos="720"/>
          <w:tab w:val="left" w:pos="3120" w:leader="none"/>
        </w:tabs>
        <w:rPr/>
      </w:pPr>
      <w:r>
        <w:rPr/>
      </w:r>
    </w:p>
    <w:p>
      <w:pPr>
        <w:pStyle w:val="Normal"/>
        <w:rPr/>
      </w:pPr>
      <w:r>
        <w:rPr/>
        <w:t>In this sections data capture requirements  are based on minimum internal and external data sources needs related to the retail transaction processing requirements</w:t>
      </w:r>
    </w:p>
    <w:p>
      <w:pPr>
        <w:pStyle w:val="Normal"/>
        <w:rPr/>
      </w:pPr>
      <w:r>
        <w:rPr/>
      </w:r>
    </w:p>
    <w:p>
      <w:pPr>
        <w:pStyle w:val="Normal"/>
        <w:numPr>
          <w:ilvl w:val="0"/>
          <w:numId w:val="5"/>
        </w:numPr>
        <w:rPr/>
      </w:pPr>
      <w:r>
        <w:rPr/>
        <w:t>Internal Sources of Information:</w:t>
      </w:r>
    </w:p>
    <w:p>
      <w:pPr>
        <w:pStyle w:val="Normal"/>
        <w:numPr>
          <w:ilvl w:val="1"/>
          <w:numId w:val="5"/>
        </w:numPr>
        <w:rPr/>
      </w:pPr>
      <w:r>
        <w:rPr/>
        <w:t>Deal Capture:</w:t>
      </w:r>
    </w:p>
    <w:p>
      <w:pPr>
        <w:pStyle w:val="Normal"/>
        <w:ind w:start="1440" w:end="0"/>
        <w:rPr/>
      </w:pPr>
      <w:r>
        <w:rPr/>
      </w:r>
    </w:p>
    <w:tbl>
      <w:tblPr>
        <w:tblW w:w="11736" w:type="dxa"/>
        <w:jc w:val="start"/>
        <w:tblInd w:w="1440" w:type="dxa"/>
        <w:tblLayout w:type="fixed"/>
        <w:tblCellMar>
          <w:top w:w="0" w:type="dxa"/>
          <w:start w:w="108" w:type="dxa"/>
          <w:bottom w:w="0" w:type="dxa"/>
          <w:end w:w="108" w:type="dxa"/>
        </w:tblCellMar>
      </w:tblPr>
      <w:tblGrid>
        <w:gridCol w:w="3886"/>
        <w:gridCol w:w="5222"/>
        <w:gridCol w:w="2628"/>
      </w:tblGrid>
      <w:tr>
        <w:trPr/>
        <w:tc>
          <w:tcPr>
            <w:tcW w:w="388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b/>
                <w:bCs/>
              </w:rPr>
            </w:pPr>
            <w:r>
              <w:rPr>
                <w:b/>
                <w:bCs/>
              </w:rPr>
              <w:t>Data Elements</w:t>
            </w:r>
          </w:p>
        </w:tc>
        <w:tc>
          <w:tcPr>
            <w:tcW w:w="5222"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Data Description</w:t>
            </w:r>
          </w:p>
        </w:tc>
        <w:tc>
          <w:tcPr>
            <w:tcW w:w="262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Level of Importance</w:t>
            </w:r>
          </w:p>
        </w:tc>
      </w:tr>
      <w:tr>
        <w:trPr/>
        <w:tc>
          <w:tcPr>
            <w:tcW w:w="3886" w:type="dxa"/>
            <w:tcBorders>
              <w:top w:val="single" w:sz="4" w:space="0" w:color="000000"/>
              <w:start w:val="single" w:sz="4" w:space="0" w:color="000000"/>
              <w:bottom w:val="single" w:sz="4" w:space="0" w:color="000000"/>
              <w:end w:val="single" w:sz="4" w:space="0" w:color="000000"/>
            </w:tcBorders>
          </w:tcPr>
          <w:p>
            <w:pPr>
              <w:pStyle w:val="Normal"/>
              <w:rPr/>
            </w:pPr>
            <w:r>
              <w:rPr/>
              <w:t>Global Counter Party</w:t>
            </w:r>
          </w:p>
        </w:tc>
        <w:tc>
          <w:tcPr>
            <w:tcW w:w="5222" w:type="dxa"/>
            <w:tcBorders>
              <w:top w:val="single" w:sz="4" w:space="0" w:color="000000"/>
              <w:start w:val="single" w:sz="4" w:space="0" w:color="000000"/>
              <w:bottom w:val="single" w:sz="4" w:space="0" w:color="000000"/>
              <w:end w:val="single" w:sz="4" w:space="0" w:color="000000"/>
            </w:tcBorders>
          </w:tcPr>
          <w:p>
            <w:pPr>
              <w:pStyle w:val="Normal"/>
              <w:rPr/>
            </w:pPr>
            <w:r>
              <w:rPr/>
              <w:t>Normalized Counter Party Identifier which will also cross reference between utility customer / account numbers and outside service provider customer numbers</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pPr>
            <w:r>
              <w:rPr/>
              <w:t>High</w:t>
            </w:r>
          </w:p>
        </w:tc>
      </w:tr>
      <w:tr>
        <w:trPr/>
        <w:tc>
          <w:tcPr>
            <w:tcW w:w="3886" w:type="dxa"/>
            <w:tcBorders>
              <w:top w:val="single" w:sz="4" w:space="0" w:color="000000"/>
              <w:start w:val="single" w:sz="4" w:space="0" w:color="000000"/>
              <w:bottom w:val="single" w:sz="4" w:space="0" w:color="000000"/>
              <w:end w:val="single" w:sz="4" w:space="0" w:color="000000"/>
            </w:tcBorders>
          </w:tcPr>
          <w:p>
            <w:pPr>
              <w:pStyle w:val="Normal"/>
              <w:rPr/>
            </w:pPr>
            <w:r>
              <w:rPr/>
              <w:t>Global Contract Identifier</w:t>
            </w:r>
          </w:p>
        </w:tc>
        <w:tc>
          <w:tcPr>
            <w:tcW w:w="5222" w:type="dxa"/>
            <w:tcBorders>
              <w:top w:val="single" w:sz="4" w:space="0" w:color="000000"/>
              <w:start w:val="single" w:sz="4" w:space="0" w:color="000000"/>
              <w:bottom w:val="single" w:sz="4" w:space="0" w:color="000000"/>
              <w:end w:val="single" w:sz="4" w:space="0" w:color="000000"/>
            </w:tcBorders>
          </w:tcPr>
          <w:p>
            <w:pPr>
              <w:pStyle w:val="Normal"/>
              <w:rPr/>
            </w:pPr>
            <w:r>
              <w:rPr/>
              <w:t>Normalized Contract Number to link transaction back to legal terms of agreement.</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pPr>
            <w:r>
              <w:rPr/>
              <w:t>High</w:t>
            </w:r>
          </w:p>
        </w:tc>
      </w:tr>
      <w:tr>
        <w:trPr/>
        <w:tc>
          <w:tcPr>
            <w:tcW w:w="3886" w:type="dxa"/>
            <w:tcBorders>
              <w:top w:val="single" w:sz="4" w:space="0" w:color="000000"/>
              <w:start w:val="single" w:sz="4" w:space="0" w:color="000000"/>
              <w:bottom w:val="single" w:sz="4" w:space="0" w:color="000000"/>
              <w:end w:val="single" w:sz="4" w:space="0" w:color="000000"/>
            </w:tcBorders>
          </w:tcPr>
          <w:p>
            <w:pPr>
              <w:pStyle w:val="Normal"/>
              <w:rPr/>
            </w:pPr>
            <w:r>
              <w:rPr/>
              <w:t>Global Facility Identifiers</w:t>
            </w:r>
          </w:p>
        </w:tc>
        <w:tc>
          <w:tcPr>
            <w:tcW w:w="5222" w:type="dxa"/>
            <w:tcBorders>
              <w:top w:val="single" w:sz="4" w:space="0" w:color="000000"/>
              <w:start w:val="single" w:sz="4" w:space="0" w:color="000000"/>
              <w:bottom w:val="single" w:sz="4" w:space="0" w:color="000000"/>
              <w:end w:val="single" w:sz="4" w:space="0" w:color="000000"/>
            </w:tcBorders>
          </w:tcPr>
          <w:p>
            <w:pPr>
              <w:pStyle w:val="Normal"/>
              <w:rPr/>
            </w:pPr>
            <w:r>
              <w:rPr/>
              <w:t xml:space="preserve">Normalized physical or logical location identifiers which will also cross reference between utility account / numbers and outside service provider accounts </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pPr>
            <w:r>
              <w:rPr/>
              <w:t>High</w:t>
            </w:r>
          </w:p>
        </w:tc>
      </w:tr>
      <w:tr>
        <w:trPr/>
        <w:tc>
          <w:tcPr>
            <w:tcW w:w="3886" w:type="dxa"/>
            <w:tcBorders>
              <w:top w:val="single" w:sz="4" w:space="0" w:color="000000"/>
              <w:start w:val="single" w:sz="4" w:space="0" w:color="000000"/>
              <w:bottom w:val="single" w:sz="4" w:space="0" w:color="000000"/>
              <w:end w:val="single" w:sz="4" w:space="0" w:color="000000"/>
            </w:tcBorders>
          </w:tcPr>
          <w:p>
            <w:pPr>
              <w:pStyle w:val="Normal"/>
              <w:rPr/>
            </w:pPr>
            <w:r>
              <w:rPr/>
              <w:t>Market Participation Identifier(s)</w:t>
            </w:r>
          </w:p>
          <w:p>
            <w:pPr>
              <w:pStyle w:val="Normal"/>
              <w:numPr>
                <w:ilvl w:val="0"/>
                <w:numId w:val="5"/>
              </w:numPr>
              <w:rPr/>
            </w:pPr>
            <w:r>
              <w:rPr/>
              <w:t>ISO(s) / RTO(s)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5"/>
              </w:numPr>
              <w:rPr/>
            </w:pPr>
            <w:r>
              <w:rPr/>
              <w:t>Utility Level Detail</w:t>
            </w:r>
          </w:p>
          <w:p>
            <w:pPr>
              <w:pStyle w:val="Normal"/>
              <w:rPr/>
            </w:pPr>
            <w:r>
              <w:rPr/>
            </w:r>
          </w:p>
          <w:p>
            <w:pPr>
              <w:pStyle w:val="Normal"/>
              <w:rPr/>
            </w:pPr>
            <w:r>
              <w:rPr/>
            </w:r>
          </w:p>
        </w:tc>
        <w:tc>
          <w:tcPr>
            <w:tcW w:w="522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numPr>
                <w:ilvl w:val="0"/>
                <w:numId w:val="5"/>
              </w:numPr>
              <w:ind w:hanging="360" w:start="1800" w:end="0"/>
              <w:rPr/>
            </w:pPr>
            <w:r>
              <w:rPr/>
              <w:t>ISO(s) / RTO(s) covered under contract.</w:t>
            </w:r>
          </w:p>
          <w:p>
            <w:pPr>
              <w:pStyle w:val="Normal"/>
              <w:numPr>
                <w:ilvl w:val="0"/>
                <w:numId w:val="5"/>
              </w:numPr>
              <w:ind w:hanging="360" w:start="1800" w:end="0"/>
              <w:rPr/>
            </w:pPr>
            <w:r>
              <w:rPr/>
              <w:t>Market type Participation if Applicable (Load(s), Ancillary, Generation, Supplemental)</w:t>
            </w:r>
          </w:p>
          <w:p>
            <w:pPr>
              <w:pStyle w:val="Header"/>
              <w:tabs>
                <w:tab w:val="clear" w:pos="4320"/>
                <w:tab w:val="clear" w:pos="8640"/>
              </w:tabs>
              <w:ind w:start="360" w:end="0"/>
              <w:rPr/>
            </w:pPr>
            <w:r>
              <w:rPr/>
            </w:r>
          </w:p>
          <w:p>
            <w:pPr>
              <w:pStyle w:val="Normal"/>
              <w:numPr>
                <w:ilvl w:val="0"/>
                <w:numId w:val="3"/>
              </w:numPr>
              <w:ind w:hanging="360" w:start="1800" w:end="0"/>
              <w:rPr/>
            </w:pPr>
            <w:r>
              <w:rPr/>
              <w:t>Utility(s) covered under contract</w:t>
            </w:r>
          </w:p>
          <w:p>
            <w:pPr>
              <w:pStyle w:val="Normal"/>
              <w:numPr>
                <w:ilvl w:val="0"/>
                <w:numId w:val="3"/>
              </w:numPr>
              <w:ind w:hanging="360" w:start="1800" w:end="0"/>
              <w:rPr/>
            </w:pPr>
            <w:r>
              <w:rPr/>
              <w:t>Site Profile Identifier</w:t>
            </w:r>
          </w:p>
          <w:p>
            <w:pPr>
              <w:pStyle w:val="Normal"/>
              <w:numPr>
                <w:ilvl w:val="0"/>
                <w:numId w:val="3"/>
              </w:numPr>
              <w:ind w:hanging="360" w:start="1800" w:end="0"/>
              <w:rPr/>
            </w:pPr>
            <w:r>
              <w:rPr/>
              <w:t>Account / Meter identifier</w:t>
            </w:r>
          </w:p>
          <w:p>
            <w:pPr>
              <w:pStyle w:val="Normal"/>
              <w:numPr>
                <w:ilvl w:val="0"/>
                <w:numId w:val="3"/>
              </w:numPr>
              <w:ind w:hanging="360" w:start="1800" w:end="0"/>
              <w:rPr/>
            </w:pPr>
            <w:r>
              <w:rPr/>
              <w:t>Customer Discounts</w:t>
            </w:r>
          </w:p>
        </w:tc>
        <w:tc>
          <w:tcPr>
            <w:tcW w:w="26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jc w:val="center"/>
              <w:rPr/>
            </w:pPr>
            <w:r>
              <w:rPr/>
            </w:r>
          </w:p>
          <w:p>
            <w:pPr>
              <w:pStyle w:val="Header"/>
              <w:tabs>
                <w:tab w:val="clear" w:pos="4320"/>
                <w:tab w:val="clear" w:pos="8640"/>
              </w:tabs>
              <w:jc w:val="center"/>
              <w:rPr/>
            </w:pPr>
            <w:r>
              <w:rPr/>
              <w:t>High</w:t>
            </w:r>
          </w:p>
          <w:p>
            <w:pPr>
              <w:pStyle w:val="Header"/>
              <w:tabs>
                <w:tab w:val="clear" w:pos="4320"/>
                <w:tab w:val="clear" w:pos="8640"/>
              </w:tabs>
              <w:jc w:val="center"/>
              <w:rPr/>
            </w:pPr>
            <w:r>
              <w:rPr/>
            </w:r>
          </w:p>
          <w:p>
            <w:pPr>
              <w:pStyle w:val="Header"/>
              <w:tabs>
                <w:tab w:val="clear" w:pos="4320"/>
                <w:tab w:val="clear" w:pos="8640"/>
              </w:tabs>
              <w:jc w:val="center"/>
              <w:rPr/>
            </w:pPr>
            <w:r>
              <w:rPr/>
              <w:t>High</w:t>
            </w:r>
          </w:p>
          <w:p>
            <w:pPr>
              <w:pStyle w:val="Header"/>
              <w:tabs>
                <w:tab w:val="clear" w:pos="4320"/>
                <w:tab w:val="clear" w:pos="8640"/>
              </w:tabs>
              <w:jc w:val="center"/>
              <w:rPr/>
            </w:pPr>
            <w:r>
              <w:rPr/>
              <w:t xml:space="preserve"> </w:t>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t>High</w:t>
            </w:r>
          </w:p>
          <w:p>
            <w:pPr>
              <w:pStyle w:val="Header"/>
              <w:tabs>
                <w:tab w:val="clear" w:pos="4320"/>
                <w:tab w:val="clear" w:pos="8640"/>
              </w:tabs>
              <w:jc w:val="center"/>
              <w:rPr/>
            </w:pPr>
            <w:r>
              <w:rPr/>
              <w:t>High</w:t>
            </w:r>
          </w:p>
          <w:p>
            <w:pPr>
              <w:pStyle w:val="Header"/>
              <w:tabs>
                <w:tab w:val="clear" w:pos="4320"/>
                <w:tab w:val="clear" w:pos="8640"/>
              </w:tabs>
              <w:jc w:val="center"/>
              <w:rPr/>
            </w:pPr>
            <w:r>
              <w:rPr/>
              <w:t>High</w:t>
            </w:r>
          </w:p>
          <w:p>
            <w:pPr>
              <w:pStyle w:val="Header"/>
              <w:tabs>
                <w:tab w:val="clear" w:pos="4320"/>
                <w:tab w:val="clear" w:pos="8640"/>
              </w:tabs>
              <w:jc w:val="center"/>
              <w:rPr/>
            </w:pPr>
            <w:r>
              <w:rPr/>
              <w:t>High</w:t>
            </w:r>
          </w:p>
        </w:tc>
      </w:tr>
      <w:tr>
        <w:trPr/>
        <w:tc>
          <w:tcPr>
            <w:tcW w:w="3886" w:type="dxa"/>
            <w:tcBorders>
              <w:top w:val="single" w:sz="4" w:space="0" w:color="000000"/>
              <w:start w:val="single" w:sz="4" w:space="0" w:color="000000"/>
              <w:bottom w:val="single" w:sz="4" w:space="0" w:color="000000"/>
              <w:end w:val="single" w:sz="4" w:space="0" w:color="000000"/>
            </w:tcBorders>
          </w:tcPr>
          <w:p>
            <w:pPr>
              <w:pStyle w:val="Normal"/>
              <w:rPr/>
            </w:pPr>
            <w:r>
              <w:rPr/>
              <w:t>Settlement Terms</w:t>
            </w:r>
          </w:p>
        </w:tc>
        <w:tc>
          <w:tcPr>
            <w:tcW w:w="5222"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Need settlement terms of deal</w:t>
            </w:r>
          </w:p>
          <w:p>
            <w:pPr>
              <w:pStyle w:val="Normal"/>
              <w:numPr>
                <w:ilvl w:val="1"/>
                <w:numId w:val="4"/>
              </w:numPr>
              <w:rPr/>
            </w:pPr>
            <w:r>
              <w:rPr/>
              <w:t>Band with parameters</w:t>
            </w:r>
          </w:p>
          <w:p>
            <w:pPr>
              <w:pStyle w:val="Normal"/>
              <w:numPr>
                <w:ilvl w:val="1"/>
                <w:numId w:val="4"/>
              </w:numPr>
              <w:rPr/>
            </w:pPr>
            <w:r>
              <w:rPr/>
              <w:t>Tariff allocation pass through / allocation method</w:t>
            </w:r>
          </w:p>
          <w:p>
            <w:pPr>
              <w:pStyle w:val="Normal"/>
              <w:numPr>
                <w:ilvl w:val="1"/>
                <w:numId w:val="4"/>
              </w:numPr>
              <w:rPr/>
            </w:pPr>
            <w:r>
              <w:rPr/>
              <w:t>Applicable discounts</w:t>
            </w:r>
          </w:p>
          <w:p>
            <w:pPr>
              <w:pStyle w:val="Normal"/>
              <w:numPr>
                <w:ilvl w:val="1"/>
                <w:numId w:val="4"/>
              </w:numPr>
              <w:rPr/>
            </w:pPr>
            <w:r>
              <w:rPr/>
              <w:t>Shared Savings Terms</w:t>
            </w:r>
          </w:p>
          <w:p>
            <w:pPr>
              <w:pStyle w:val="Normal"/>
              <w:numPr>
                <w:ilvl w:val="1"/>
                <w:numId w:val="4"/>
              </w:numPr>
              <w:rPr/>
            </w:pPr>
            <w:r>
              <w:rPr/>
              <w:t>Financial settlement time frames.</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pPr>
            <w:r>
              <w:rPr/>
              <w:t>High</w:t>
            </w:r>
          </w:p>
        </w:tc>
      </w:tr>
      <w:tr>
        <w:trPr/>
        <w:tc>
          <w:tcPr>
            <w:tcW w:w="3886" w:type="dxa"/>
            <w:tcBorders>
              <w:top w:val="single" w:sz="4" w:space="0" w:color="000000"/>
              <w:start w:val="single" w:sz="4" w:space="0" w:color="000000"/>
              <w:bottom w:val="single" w:sz="4" w:space="0" w:color="000000"/>
              <w:end w:val="single" w:sz="4" w:space="0" w:color="000000"/>
            </w:tcBorders>
          </w:tcPr>
          <w:p>
            <w:pPr>
              <w:pStyle w:val="Normal"/>
              <w:rPr/>
            </w:pPr>
            <w:r>
              <w:rPr/>
              <w:t>Base Load Estimate</w:t>
            </w:r>
          </w:p>
        </w:tc>
        <w:tc>
          <w:tcPr>
            <w:tcW w:w="5222"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Agreed upon base line load allocation rules for Customer / desk allocation</w:t>
            </w:r>
          </w:p>
          <w:p>
            <w:pPr>
              <w:pStyle w:val="Normal"/>
              <w:numPr>
                <w:ilvl w:val="1"/>
                <w:numId w:val="4"/>
              </w:numPr>
              <w:rPr/>
            </w:pPr>
            <w:r>
              <w:rPr/>
              <w:t xml:space="preserve">This also needs to be date effective </w:t>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pPr>
            <w:r>
              <w:rPr/>
              <w:t>High</w:t>
            </w:r>
          </w:p>
        </w:tc>
      </w:tr>
      <w:tr>
        <w:trPr/>
        <w:tc>
          <w:tcPr>
            <w:tcW w:w="3886" w:type="dxa"/>
            <w:tcBorders>
              <w:top w:val="single" w:sz="4" w:space="0" w:color="000000"/>
              <w:start w:val="single" w:sz="4" w:space="0" w:color="000000"/>
              <w:bottom w:val="single" w:sz="4" w:space="0" w:color="000000"/>
              <w:end w:val="single" w:sz="4" w:space="0" w:color="000000"/>
            </w:tcBorders>
          </w:tcPr>
          <w:p>
            <w:pPr>
              <w:pStyle w:val="Normal"/>
              <w:rPr/>
            </w:pPr>
            <w:r>
              <w:rPr/>
              <w:t>Deal Pricing</w:t>
            </w:r>
          </w:p>
        </w:tc>
        <w:tc>
          <w:tcPr>
            <w:tcW w:w="5222" w:type="dxa"/>
            <w:tcBorders>
              <w:top w:val="single" w:sz="4" w:space="0" w:color="000000"/>
              <w:start w:val="single" w:sz="4" w:space="0" w:color="000000"/>
              <w:bottom w:val="single" w:sz="4" w:space="0" w:color="000000"/>
              <w:end w:val="single" w:sz="4" w:space="0" w:color="000000"/>
            </w:tcBorders>
          </w:tcPr>
          <w:p>
            <w:pPr>
              <w:pStyle w:val="Normal"/>
              <w:numPr>
                <w:ilvl w:val="0"/>
                <w:numId w:val="4"/>
              </w:numPr>
              <w:snapToGrid w:val="false"/>
              <w:rPr/>
            </w:pPr>
            <w:r>
              <w:rPr/>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pPr>
            <w:r>
              <w:rPr/>
              <w:t>High</w:t>
            </w:r>
          </w:p>
        </w:tc>
      </w:tr>
      <w:tr>
        <w:trPr/>
        <w:tc>
          <w:tcPr>
            <w:tcW w:w="3886" w:type="dxa"/>
            <w:tcBorders>
              <w:top w:val="single" w:sz="4" w:space="0" w:color="000000"/>
              <w:start w:val="single" w:sz="4" w:space="0" w:color="000000"/>
              <w:bottom w:val="single" w:sz="4" w:space="0" w:color="000000"/>
              <w:end w:val="single" w:sz="4" w:space="0" w:color="000000"/>
            </w:tcBorders>
          </w:tcPr>
          <w:p>
            <w:pPr>
              <w:pStyle w:val="Normal"/>
              <w:rPr/>
            </w:pPr>
            <w:r>
              <w:rPr/>
              <w:t>Customer Class Type</w:t>
            </w:r>
          </w:p>
        </w:tc>
        <w:tc>
          <w:tcPr>
            <w:tcW w:w="5222" w:type="dxa"/>
            <w:tcBorders>
              <w:top w:val="single" w:sz="4" w:space="0" w:color="000000"/>
              <w:start w:val="single" w:sz="4" w:space="0" w:color="000000"/>
              <w:bottom w:val="single" w:sz="4" w:space="0" w:color="000000"/>
              <w:end w:val="single" w:sz="4" w:space="0" w:color="000000"/>
            </w:tcBorders>
          </w:tcPr>
          <w:p>
            <w:pPr>
              <w:pStyle w:val="Normal"/>
              <w:numPr>
                <w:ilvl w:val="0"/>
                <w:numId w:val="4"/>
              </w:numPr>
              <w:snapToGrid w:val="false"/>
              <w:rPr/>
            </w:pPr>
            <w:r>
              <w:rPr/>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pPr>
            <w:r>
              <w:rPr/>
              <w:t>High</w:t>
            </w:r>
          </w:p>
        </w:tc>
      </w:tr>
      <w:tr>
        <w:trPr/>
        <w:tc>
          <w:tcPr>
            <w:tcW w:w="3886" w:type="dxa"/>
            <w:tcBorders>
              <w:top w:val="single" w:sz="4" w:space="0" w:color="000000"/>
              <w:start w:val="single" w:sz="4" w:space="0" w:color="000000"/>
              <w:bottom w:val="single" w:sz="4" w:space="0" w:color="000000"/>
              <w:end w:val="single" w:sz="4" w:space="0" w:color="000000"/>
            </w:tcBorders>
          </w:tcPr>
          <w:p>
            <w:pPr>
              <w:pStyle w:val="Normal"/>
              <w:rPr/>
            </w:pPr>
            <w:r>
              <w:rPr/>
              <w:t>Meter Data Cycle Read schedule</w:t>
            </w:r>
          </w:p>
        </w:tc>
        <w:tc>
          <w:tcPr>
            <w:tcW w:w="5222" w:type="dxa"/>
            <w:tcBorders>
              <w:top w:val="single" w:sz="4" w:space="0" w:color="000000"/>
              <w:start w:val="single" w:sz="4" w:space="0" w:color="000000"/>
              <w:bottom w:val="single" w:sz="4" w:space="0" w:color="000000"/>
              <w:end w:val="single" w:sz="4" w:space="0" w:color="000000"/>
            </w:tcBorders>
          </w:tcPr>
          <w:p>
            <w:pPr>
              <w:pStyle w:val="Normal"/>
              <w:numPr>
                <w:ilvl w:val="0"/>
                <w:numId w:val="4"/>
              </w:numPr>
              <w:snapToGrid w:val="false"/>
              <w:rPr/>
            </w:pPr>
            <w:r>
              <w:rPr/>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pPr>
            <w:r>
              <w:rPr/>
              <w:t>High</w:t>
            </w:r>
          </w:p>
        </w:tc>
      </w:tr>
      <w:tr>
        <w:trPr/>
        <w:tc>
          <w:tcPr>
            <w:tcW w:w="3886" w:type="dxa"/>
            <w:tcBorders>
              <w:top w:val="single" w:sz="4" w:space="0" w:color="000000"/>
              <w:start w:val="single" w:sz="4" w:space="0" w:color="000000"/>
              <w:bottom w:val="single" w:sz="4" w:space="0" w:color="000000"/>
              <w:end w:val="single" w:sz="4" w:space="0" w:color="000000"/>
            </w:tcBorders>
          </w:tcPr>
          <w:p>
            <w:pPr>
              <w:pStyle w:val="Normal"/>
              <w:rPr/>
            </w:pPr>
            <w:r>
              <w:rPr/>
              <w:t>Unit of Measure</w:t>
            </w:r>
          </w:p>
        </w:tc>
        <w:tc>
          <w:tcPr>
            <w:tcW w:w="5222" w:type="dxa"/>
            <w:tcBorders>
              <w:top w:val="single" w:sz="4" w:space="0" w:color="000000"/>
              <w:start w:val="single" w:sz="4" w:space="0" w:color="000000"/>
              <w:bottom w:val="single" w:sz="4" w:space="0" w:color="000000"/>
              <w:end w:val="single" w:sz="4" w:space="0" w:color="000000"/>
            </w:tcBorders>
          </w:tcPr>
          <w:p>
            <w:pPr>
              <w:pStyle w:val="Normal"/>
              <w:numPr>
                <w:ilvl w:val="0"/>
                <w:numId w:val="4"/>
              </w:numPr>
              <w:snapToGrid w:val="false"/>
              <w:rPr/>
            </w:pPr>
            <w:r>
              <w:rPr/>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pPr>
            <w:r>
              <w:rPr/>
              <w:t>High</w:t>
            </w:r>
          </w:p>
        </w:tc>
      </w:tr>
      <w:tr>
        <w:trPr/>
        <w:tc>
          <w:tcPr>
            <w:tcW w:w="3886" w:type="dxa"/>
            <w:tcBorders>
              <w:top w:val="single" w:sz="4" w:space="0" w:color="000000"/>
              <w:start w:val="single" w:sz="4" w:space="0" w:color="000000"/>
              <w:bottom w:val="single" w:sz="4" w:space="0" w:color="000000"/>
              <w:end w:val="single" w:sz="4" w:space="0" w:color="000000"/>
            </w:tcBorders>
          </w:tcPr>
          <w:p>
            <w:pPr>
              <w:pStyle w:val="Normal"/>
              <w:rPr/>
            </w:pPr>
            <w:r>
              <w:rPr/>
              <w:t>Currency</w:t>
            </w:r>
          </w:p>
        </w:tc>
        <w:tc>
          <w:tcPr>
            <w:tcW w:w="5222" w:type="dxa"/>
            <w:tcBorders>
              <w:top w:val="single" w:sz="4" w:space="0" w:color="000000"/>
              <w:start w:val="single" w:sz="4" w:space="0" w:color="000000"/>
              <w:bottom w:val="single" w:sz="4" w:space="0" w:color="000000"/>
              <w:end w:val="single" w:sz="4" w:space="0" w:color="000000"/>
            </w:tcBorders>
          </w:tcPr>
          <w:p>
            <w:pPr>
              <w:pStyle w:val="Normal"/>
              <w:numPr>
                <w:ilvl w:val="0"/>
                <w:numId w:val="4"/>
              </w:numPr>
              <w:snapToGrid w:val="false"/>
              <w:rPr/>
            </w:pPr>
            <w:r>
              <w:rPr/>
            </w:r>
          </w:p>
        </w:tc>
        <w:tc>
          <w:tcPr>
            <w:tcW w:w="2628" w:type="dxa"/>
            <w:tcBorders>
              <w:top w:val="single" w:sz="4" w:space="0" w:color="000000"/>
              <w:start w:val="single" w:sz="4" w:space="0" w:color="000000"/>
              <w:bottom w:val="single" w:sz="4" w:space="0" w:color="000000"/>
              <w:end w:val="single" w:sz="4" w:space="0" w:color="000000"/>
            </w:tcBorders>
          </w:tcPr>
          <w:p>
            <w:pPr>
              <w:pStyle w:val="Normal"/>
              <w:jc w:val="center"/>
              <w:rPr/>
            </w:pPr>
            <w:r>
              <w:rPr/>
              <w:t>High</w:t>
            </w:r>
          </w:p>
        </w:tc>
      </w:tr>
      <w:tr>
        <w:trPr/>
        <w:tc>
          <w:tcPr>
            <w:tcW w:w="3886" w:type="dxa"/>
            <w:tcBorders>
              <w:top w:val="single" w:sz="4" w:space="0" w:color="000000"/>
              <w:start w:val="single" w:sz="4" w:space="0" w:color="000000"/>
              <w:bottom w:val="single" w:sz="4" w:space="0" w:color="000000"/>
              <w:end w:val="single" w:sz="4" w:space="0" w:color="000000"/>
            </w:tcBorders>
          </w:tcPr>
          <w:p>
            <w:pPr>
              <w:pStyle w:val="Normal"/>
              <w:rPr/>
            </w:pPr>
            <w:r>
              <w:rPr/>
              <w:t xml:space="preserve">Regional Time Zone </w:t>
            </w:r>
          </w:p>
        </w:tc>
        <w:tc>
          <w:tcPr>
            <w:tcW w:w="5222" w:type="dxa"/>
            <w:tcBorders>
              <w:top w:val="single" w:sz="4" w:space="0" w:color="000000"/>
              <w:start w:val="single" w:sz="4" w:space="0" w:color="000000"/>
              <w:bottom w:val="single" w:sz="4" w:space="0" w:color="000000"/>
              <w:end w:val="single" w:sz="4" w:space="0" w:color="000000"/>
            </w:tcBorders>
          </w:tcPr>
          <w:p>
            <w:pPr>
              <w:pStyle w:val="Normal"/>
              <w:numPr>
                <w:ilvl w:val="0"/>
                <w:numId w:val="4"/>
              </w:numPr>
              <w:snapToGrid w:val="false"/>
              <w:rPr/>
            </w:pPr>
            <w:r>
              <w:rPr/>
            </w:r>
          </w:p>
        </w:tc>
        <w:tc>
          <w:tcPr>
            <w:tcW w:w="26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88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2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6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ind w:start="1440" w:end="0"/>
        <w:rPr/>
      </w:pPr>
      <w:r>
        <w:rPr/>
      </w:r>
    </w:p>
    <w:p>
      <w:pPr>
        <w:pStyle w:val="Normal"/>
        <w:rPr/>
      </w:pPr>
      <w:r>
        <w:rPr/>
        <w:tab/>
      </w:r>
    </w:p>
    <w:p>
      <w:pPr>
        <w:pStyle w:val="Normal"/>
        <w:rPr>
          <w:u w:val="single"/>
        </w:rPr>
      </w:pPr>
      <w:r>
        <w:rPr>
          <w:u w:val="single"/>
        </w:rPr>
        <w:t>Retail Processes:</w:t>
      </w:r>
    </w:p>
    <w:p>
      <w:pPr>
        <w:pStyle w:val="Normal"/>
        <w:rPr>
          <w:u w:val="single"/>
        </w:rPr>
      </w:pPr>
      <w:r>
        <w:rPr>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u w:val="single"/>
        </w:rPr>
      </w:pPr>
      <w:r>
        <w:rPr>
          <w:u w:val="single"/>
        </w:rPr>
        <w:t>Wholesale Processes:</w:t>
      </w:r>
    </w:p>
    <w:p>
      <w:pPr>
        <w:pStyle w:val="Normal"/>
        <w:rPr>
          <w:u w:val="single"/>
        </w:rPr>
      </w:pPr>
      <w:r>
        <w:rPr>
          <w:u w:val="single"/>
        </w:rPr>
      </w:r>
    </w:p>
    <w:p>
      <w:pPr>
        <w:pStyle w:val="Normal"/>
        <w:numPr>
          <w:ilvl w:val="0"/>
          <w:numId w:val="2"/>
        </w:numPr>
        <w:rPr>
          <w:u w:val="single"/>
        </w:rPr>
      </w:pPr>
      <w:r>
        <w:rPr/>
        <w:t xml:space="preserve">Market Setup / certification for SC / QSE participation </w:t>
      </w:r>
    </w:p>
    <w:p>
      <w:pPr>
        <w:pStyle w:val="Normal"/>
        <w:numPr>
          <w:ilvl w:val="0"/>
          <w:numId w:val="2"/>
        </w:numPr>
        <w:rPr/>
      </w:pPr>
      <w:r>
        <w:rPr/>
        <w:t>Software solutions for maintaining customer / desk disaggregated schedules at hourly level (Minimum Requirement)</w:t>
      </w:r>
    </w:p>
    <w:p>
      <w:pPr>
        <w:pStyle w:val="Normal"/>
        <w:numPr>
          <w:ilvl w:val="1"/>
          <w:numId w:val="2"/>
        </w:numPr>
        <w:rPr/>
      </w:pPr>
      <w:r>
        <w:rPr/>
        <w:t>Confirmation on daily basis of customer / desk final schedules (HA / RT) approved by Control Area</w:t>
      </w:r>
    </w:p>
    <w:p>
      <w:pPr>
        <w:pStyle w:val="Normal"/>
        <w:numPr>
          <w:ilvl w:val="0"/>
          <w:numId w:val="2"/>
        </w:numPr>
        <w:rPr/>
      </w:pPr>
      <w:r>
        <w:rPr/>
        <w:t>Software solutions for managing customer / desk tariff allocations and processing under ISO / RTO settlement protocol</w:t>
      </w:r>
    </w:p>
    <w:p>
      <w:pPr>
        <w:pStyle w:val="Normal"/>
        <w:numPr>
          <w:ilvl w:val="1"/>
          <w:numId w:val="2"/>
        </w:numPr>
        <w:rPr/>
      </w:pPr>
      <w:r>
        <w:rPr/>
        <w:t>Confirmation on daily / monthly  basis of customer / desk estimated  &amp; actualized  expense  / revenue allocation by tariff (Detail Support)</w:t>
      </w:r>
    </w:p>
    <w:p>
      <w:pPr>
        <w:pStyle w:val="Normal"/>
        <w:numPr>
          <w:ilvl w:val="0"/>
          <w:numId w:val="2"/>
        </w:numP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footerReference w:type="default" r:id="rId3"/>
      <w:type w:val="nextPage"/>
      <w:pgSz w:orient="landscape" w:w="15840" w:h="12240"/>
      <w:pgMar w:left="1440" w:right="1440" w:gutter="0" w:header="72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176" w:type="dxa"/>
      <w:jc w:val="start"/>
      <w:tblInd w:w="0" w:type="dxa"/>
      <w:tblLayout w:type="fixed"/>
      <w:tblCellMar>
        <w:top w:w="0" w:type="dxa"/>
        <w:start w:w="108" w:type="dxa"/>
        <w:bottom w:w="0" w:type="dxa"/>
        <w:end w:w="108" w:type="dxa"/>
      </w:tblCellMar>
    </w:tblPr>
    <w:tblGrid>
      <w:gridCol w:w="4392"/>
      <w:gridCol w:w="4392"/>
      <w:gridCol w:w="4392"/>
    </w:tblGrid>
    <w:tr>
      <w:trPr/>
      <w:tc>
        <w:tcPr>
          <w:tcW w:w="4392" w:type="dxa"/>
          <w:tcBorders/>
        </w:tcPr>
        <w:p>
          <w:pPr>
            <w:pStyle w:val="Footer"/>
            <w:rPr/>
          </w:pPr>
          <w:r>
            <w:rPr/>
            <w:fldChar w:fldCharType="begin"/>
          </w:r>
          <w:r>
            <w:rPr/>
            <w:instrText xml:space="preserve"> FILENAME \p </w:instrText>
          </w:r>
          <w:r>
            <w:rPr/>
            <w:fldChar w:fldCharType="separate"/>
          </w:r>
          <w:r>
            <w:rPr/>
            <w:t>/mnt/main-storage/datasets/enron-docs/doc/Global_Retail_Solution__Requirements.doc</w:t>
          </w:r>
          <w:r>
            <w:rPr/>
            <w:fldChar w:fldCharType="end"/>
          </w:r>
        </w:p>
      </w:tc>
      <w:tc>
        <w:tcPr>
          <w:tcW w:w="4392"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tc>
      <w:tc>
        <w:tcPr>
          <w:tcW w:w="4392" w:type="dxa"/>
          <w:tcBorders/>
        </w:tcPr>
        <w:p>
          <w:pPr>
            <w:pStyle w:val="Footer"/>
            <w:jc w:val="end"/>
            <w:rPr/>
          </w:pPr>
          <w:r>
            <w:rPr/>
            <w:fldChar w:fldCharType="begin"/>
          </w:r>
          <w:r>
            <w:rPr/>
            <w:instrText xml:space="preserve"> DATE \@"M\/d\/yyyy" </w:instrText>
          </w:r>
          <w:r>
            <w:rPr/>
            <w:fldChar w:fldCharType="separate"/>
          </w:r>
          <w:r>
            <w:rPr/>
            <w:t>9/28/2025</w:t>
          </w:r>
          <w:r>
            <w:rPr/>
            <w:fldChar w:fldCharType="end"/>
          </w:r>
          <w:r>
            <w:rPr/>
            <w:t xml:space="preserve">  </w:t>
          </w:r>
          <w:r>
            <w:rPr/>
            <w:fldChar w:fldCharType="begin"/>
          </w:r>
          <w:r>
            <w:rPr/>
            <w:instrText xml:space="preserve"> TIME \@"H:mm\ AM/PM" </w:instrText>
          </w:r>
          <w:r>
            <w:rPr/>
            <w:fldChar w:fldCharType="separate"/>
          </w:r>
          <w:r>
            <w:rPr/>
            <w:t>8:44 AM</w:t>
          </w:r>
          <w:r>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High level Retail Market Requirements</w:t>
    </w:r>
  </w:p>
  <w:p>
    <w:pPr>
      <w:pStyle w:val="Header"/>
      <w:jc w:val="center"/>
      <w:rPr/>
    </w:pPr>
    <w:r>
      <w:rPr/>
      <w:t xml:space="preserve">To Support Participation in </w:t>
    </w:r>
  </w:p>
  <w:p>
    <w:pPr>
      <w:pStyle w:val="Header"/>
      <w:jc w:val="center"/>
      <w:rPr/>
    </w:pPr>
    <w:r>
      <w:rPr/>
      <w:t>Regulated &amp; Retail Generation Market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1440"/>
        </w:tabs>
        <w:ind w:start="1440" w:hanging="360"/>
      </w:pPr>
      <w:rPr>
        <w:rFonts w:ascii="Wingdings" w:hAnsi="Wingdings" w:cs="Wingdings" w:hint="default"/>
      </w:rPr>
    </w:lvl>
    <w:lvl w:ilvl="1">
      <w:start w:val="1"/>
      <w:numFmt w:val="lowerLetter"/>
      <w:lvlText w:val="%2."/>
      <w:lvlJc w:val="start"/>
      <w:pPr>
        <w:tabs>
          <w:tab w:val="num" w:pos="2160"/>
        </w:tabs>
        <w:ind w:start="2160" w:hanging="360"/>
      </w:pPr>
    </w:lvl>
    <w:lvl w:ilvl="2">
      <w:start w:val="1"/>
      <w:numFmt w:val="bullet"/>
      <w:lvlText w:val=""/>
      <w:lvlJc w:val="start"/>
      <w:pPr>
        <w:tabs>
          <w:tab w:val="num" w:pos="3060"/>
        </w:tabs>
        <w:ind w:start="3060" w:hanging="360"/>
      </w:pPr>
      <w:rPr>
        <w:rFonts w:ascii="Wingdings" w:hAnsi="Wingdings" w:cs="Wingdings" w:hint="default"/>
      </w:r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DefaultParagraphFont">
    <w:name w:val="Default Paragraph Font"/>
    <w:qFormat/>
    <w:rPr/>
  </w:style>
  <w:style w:type="character" w:styleId="moneil">
    <w:name w:val="moneil"/>
    <w:basedOn w:val="DefaultParagraphFont"/>
    <w:qFormat/>
    <w:rPr>
      <w:rFonts w:ascii="Arial" w:hAnsi="Arial" w:cs="Arial"/>
      <w:color w:val="000080"/>
      <w:sz w:val="2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2001-06-18T11:25:00Z</dcterms:created>
  <dc:creator>moneil</dc:creator>
  <dc:description/>
  <dc:language>en-CA</dc:language>
  <cp:lastModifiedBy>moneil</cp:lastModifiedBy>
  <dcterms:modified xsi:type="dcterms:W3CDTF">2001-08-02T15:50:00Z</dcterms:modified>
  <cp:revision>6</cp:revision>
  <dc:subject/>
  <dc:title>The objective of this document is to ensure that the correct level of detail is captured to enable the accurate processing of </dc:title>
</cp:coreProperties>
</file>