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 Crossing, Ltd.</w:t>
      </w:r>
    </w:p>
    <w:p>
      <w:pPr>
        <w:pStyle w:val="Normal"/>
        <w:jc w:val="both"/>
        <w:rPr>
          <w:rFonts w:ascii="Times New Roman" w:hAnsi="Times New Roman" w:cs="Times New Roman"/>
          <w:sz w:val="22"/>
        </w:rPr>
      </w:pPr>
      <w:r>
        <w:rPr>
          <w:rFonts w:cs="Times New Roman" w:ascii="Times New Roman" w:hAnsi="Times New Roman"/>
          <w:sz w:val="22"/>
        </w:rPr>
        <w:t>360 North Crescent Drive</w:t>
      </w:r>
    </w:p>
    <w:p>
      <w:pPr>
        <w:pStyle w:val="Normal"/>
        <w:jc w:val="both"/>
        <w:rPr>
          <w:rFonts w:ascii="Times New Roman" w:hAnsi="Times New Roman" w:cs="Times New Roman"/>
          <w:sz w:val="22"/>
        </w:rPr>
      </w:pPr>
      <w:r>
        <w:rPr>
          <w:rFonts w:cs="Times New Roman" w:ascii="Times New Roman" w:hAnsi="Times New Roman"/>
          <w:sz w:val="22"/>
        </w:rPr>
        <w:t>Beverly Hills, California 90210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furnish Global Crossing, Ltd.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6,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GLOBAL CROSSING, LTD.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/mnt/main-storage/datasets/enron-docs/doc/Global_Crossing___Enron_NDA.doc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 Crossing, Ltd.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2000-11-22T15:40:00Z</dcterms:created>
  <dc:creator>ECT</dc:creator>
  <dc:description/>
  <dc:language>en-CA</dc:language>
  <cp:lastModifiedBy>peter_feltman</cp:lastModifiedBy>
  <cp:lastPrinted>2000-11-22T08:53:00Z</cp:lastPrinted>
  <dcterms:modified xsi:type="dcterms:W3CDTF">2000-11-22T15:40:00Z</dcterms:modified>
  <cp:revision>2</cp:revision>
  <dc:subject/>
  <dc:title>Long Form Confidentiality Agreement</dc:title>
</cp:coreProperties>
</file>