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7.wmf" ContentType="image/x-wmf"/>
  <Override PartName="/word/media/image8.wmf" ContentType="image/x-wmf"/>
  <Override PartName="/word/media/image9.wmf" ContentType="image/x-wmf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embeddings/oleObject3.xlsx" ContentType="application/vnd.openxmlformats-officedocument.spreadsheetml.sheet"/>
  <Override PartName="/word/embeddings/oleObject4.xlsx" ContentType="application/vnd.openxmlformats-officedocument.spreadsheetml.sheet"/>
  <Override PartName="/word/embeddings/oleObject5.xlsx" ContentType="application/vnd.openxmlformats-officedocument.spreadsheetml.sheet"/>
  <Override PartName="/word/embeddings/oleObject6.xlsx" ContentType="application/vnd.openxmlformats-officedocument.spreadsheetml.sheet"/>
  <Override PartName="/word/embeddings/oleObject7.xlsx" ContentType="application/vnd.openxmlformats-officedocument.spreadsheetml.sheet"/>
  <Override PartName="/word/embeddings/oleObject8.xlsx" ContentType="application/vnd.openxmlformats-officedocument.spreadsheetml.sheet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99441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585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To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/>
          </w:tcPr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Sally Beck</w:t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Shona Wilson</w:t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477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From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Michael Moscoso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rPr>
                <w:rFonts w:ascii="Times New Roman" w:hAnsi="Times New Roman" w:cs="Times New Roman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</w:rPr>
              <w:t>Global Energy Operations</w:t>
            </w:r>
          </w:p>
        </w:tc>
      </w:tr>
      <w:tr>
        <w:trPr>
          <w:trHeight w:val="117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432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Subject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Global Operations Report – September 2000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15, 2000</w:t>
            </w:r>
          </w:p>
        </w:tc>
      </w:tr>
    </w:tbl>
    <w:p>
      <w:pPr>
        <w:pStyle w:val="Body"/>
        <w:widowControl/>
        <w:ind w:start="0" w:end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  <w:bookmarkStart w:id="1" w:name="StartOfMemo"/>
      <w:bookmarkStart w:id="2" w:name="StartOfMemo"/>
      <w:bookmarkEnd w:id="2"/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Attached is the Global Operations Report for September 2000.   The following list is a summary of the items presented: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A.  Deal Capture Process</w:t>
        <w:tab/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numPr>
          <w:ilvl w:val="0"/>
          <w:numId w:val="2"/>
        </w:numPr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27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Power Deal Capture Errors Summary</w:t>
        <w:tab/>
        <w:tab/>
      </w:r>
    </w:p>
    <w:p>
      <w:pPr>
        <w:pStyle w:val="Department"/>
        <w:widowControl/>
        <w:numPr>
          <w:ilvl w:val="0"/>
          <w:numId w:val="2"/>
        </w:numPr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27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Gas Deal Capture Errors Summary</w:t>
        <w:tab/>
        <w:tab/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B.  Confirmation Process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numPr>
          <w:ilvl w:val="0"/>
          <w:numId w:val="4"/>
        </w:numPr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45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Brokered Deals Confirmation Exception Report</w:t>
        <w:tab/>
        <w:t xml:space="preserve">                     </w:t>
        <w:tab/>
        <w:tab/>
        <w:tab/>
      </w:r>
    </w:p>
    <w:p>
      <w:pPr>
        <w:pStyle w:val="Department"/>
        <w:widowControl/>
        <w:numPr>
          <w:ilvl w:val="0"/>
          <w:numId w:val="4"/>
        </w:numPr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45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Confirmation Delivery Exception Report                                   </w:t>
        <w:tab/>
        <w:tab/>
        <w:tab/>
        <w:tab/>
      </w:r>
    </w:p>
    <w:p>
      <w:pPr>
        <w:pStyle w:val="Department"/>
        <w:widowControl/>
        <w:numPr>
          <w:ilvl w:val="0"/>
          <w:numId w:val="4"/>
        </w:numPr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45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Confirmation Execution Exception Report</w:t>
        <w:tab/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color w:val="000000"/>
        </w:rPr>
        <w:tab/>
        <w:tab/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C.  Risk Reporting Process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numPr>
          <w:ilvl w:val="0"/>
          <w:numId w:val="7"/>
        </w:numPr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45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Officialized Books Exception Report</w:t>
        <w:tab/>
        <w:tab/>
      </w:r>
    </w:p>
    <w:p>
      <w:pPr>
        <w:pStyle w:val="Department"/>
        <w:widowControl/>
        <w:numPr>
          <w:ilvl w:val="0"/>
          <w:numId w:val="7"/>
        </w:numPr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45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Cash Flows Exception Report</w:t>
        <w:tab/>
        <w:tab/>
      </w:r>
    </w:p>
    <w:p>
      <w:pPr>
        <w:pStyle w:val="Department"/>
        <w:widowControl/>
        <w:numPr>
          <w:ilvl w:val="0"/>
          <w:numId w:val="7"/>
        </w:numPr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45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color w:val="000000"/>
        </w:rPr>
        <w:t>Positions in VAR Exception Report</w:t>
        <w:tab/>
        <w:tab/>
      </w:r>
    </w:p>
    <w:p>
      <w:pPr>
        <w:pStyle w:val="Department"/>
        <w:widowControl/>
        <w:numPr>
          <w:ilvl w:val="0"/>
          <w:numId w:val="7"/>
        </w:numPr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45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color w:val="000000"/>
        </w:rPr>
        <w:t>DPR Deadline Exception Report</w:t>
        <w:tab/>
        <w:tab/>
      </w:r>
    </w:p>
    <w:p>
      <w:pPr>
        <w:pStyle w:val="Department"/>
        <w:widowControl/>
        <w:numPr>
          <w:ilvl w:val="0"/>
          <w:numId w:val="7"/>
        </w:numPr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45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color w:val="000000"/>
        </w:rPr>
        <w:t>Operational Analysis Adjustments Report</w:t>
        <w:tab/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D.  Settlements Process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numPr>
          <w:ilvl w:val="0"/>
          <w:numId w:val="5"/>
        </w:numPr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270" w:start="360" w:end="-18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Summarized A/R Aging Report</w:t>
        <w:tab/>
        <w:tab/>
      </w:r>
    </w:p>
    <w:p>
      <w:pPr>
        <w:pStyle w:val="Department"/>
        <w:widowControl/>
        <w:numPr>
          <w:ilvl w:val="0"/>
          <w:numId w:val="5"/>
        </w:numPr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270" w:start="360" w:end="-18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Summarized A/P Aging Report  </w:t>
        <w:tab/>
        <w:tab/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Please contact me if you have any questions (x-35242)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numPr>
          <w:ilvl w:val="0"/>
          <w:numId w:val="9"/>
        </w:numPr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Deal Capture Process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ab/>
        <w:tab/>
        <w:t xml:space="preserve">                                     </w:t>
      </w:r>
    </w:p>
    <w:p>
      <w:pPr>
        <w:pStyle w:val="Department"/>
        <w:widowControl/>
        <w:tabs>
          <w:tab w:val="left" w:pos="540" w:leader="none"/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90" w:end="0"/>
        <w:jc w:val="both"/>
        <w:rPr/>
      </w:pPr>
      <w:r>
        <w:rPr>
          <w:rFonts w:cs="Times New Roman" w:ascii="Times New Roman" w:hAnsi="Times New Roman"/>
          <w:b/>
          <w:color w:val="000000"/>
        </w:rPr>
        <w:tab/>
        <w:t xml:space="preserve">Purpose:   </w:t>
      </w:r>
      <w:r>
        <w:rPr>
          <w:rFonts w:cs="Times New Roman" w:ascii="Times New Roman" w:hAnsi="Times New Roman"/>
          <w:color w:val="000000"/>
        </w:rPr>
        <w:t>Summarizes deal capture errors by category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object w:dxaOrig="8961" w:dyaOrig="3840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21.6pt;margin-top:15.85pt;width:475.1pt;height:212.75pt;mso-wrap-distance-left:9.05pt;mso-wrap-distance-right:9.05pt;mso-position-horizontal-relative:text;mso-position-vertical-relative:text" filled="f" o:ole="">
            <v:imagedata r:id="rId4" o:title=""/>
            <w10:wrap type="topAndBottom"/>
          </v:shape>
          <o:OLEObject Type="Embed" ProgID="Excel.Sheet.12" ShapeID="ole_rId3" DrawAspect="Content" ObjectID="_1812422984" r:id="rId3"/>
        </w:objec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object w:dxaOrig="7681" w:dyaOrig="4097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position:absolute;margin-left:28.8pt;margin-top:37.8pt;width:466.25pt;height:259.15pt;mso-wrap-distance-left:9.05pt;mso-wrap-distance-right:9.05pt;mso-position-horizontal-relative:text;mso-position-vertical-relative:text" filled="f" o:ole="">
            <v:imagedata r:id="rId6" o:title=""/>
            <w10:wrap type="topAndBottom"/>
          </v:shape>
          <o:OLEObject Type="Embed" ProgID="Excel.Sheet.12" ShapeID="ole_rId5" DrawAspect="Content" ObjectID="_1011518765" r:id="rId5"/>
        </w:objec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color w:val="000000"/>
        </w:rPr>
        <w:tab/>
        <w:tab/>
        <w:tab/>
        <w:tab/>
        <w:tab/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B.  Confirmation Process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numPr>
          <w:ilvl w:val="0"/>
          <w:numId w:val="6"/>
        </w:numPr>
        <w:tabs>
          <w:tab w:val="left" w:pos="450" w:leader="none"/>
          <w:tab w:val="left" w:pos="540" w:leader="none"/>
          <w:tab w:val="left" w:pos="1080" w:leader="none"/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firstLine="90" w:start="45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</w:rPr>
        <w:t>Financial Gas – Broker Deals Confirmation exception Report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firstLine="450" w:start="9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108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1080" w:end="0"/>
        <w:jc w:val="both"/>
        <w:rPr/>
      </w:pPr>
      <w:r>
        <w:rPr>
          <w:rFonts w:cs="Times New Roman" w:ascii="Times New Roman" w:hAnsi="Times New Roman"/>
          <w:b/>
          <w:color w:val="000000"/>
        </w:rPr>
        <w:t xml:space="preserve">Purpose:  </w:t>
      </w:r>
      <w:r>
        <w:rPr>
          <w:rFonts w:cs="Times New Roman" w:ascii="Times New Roman" w:hAnsi="Times New Roman"/>
          <w:color w:val="000000"/>
        </w:rPr>
        <w:t>Summarizes the number of brokered deals that required further action at the end of each trading day.  This does not represent deals pending at the end of the month.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object w:dxaOrig="8961" w:dyaOrig="4609">
          <v:shapetype id="_x0000_tole_rId7" coordsize="21600,21600" o:spt="ole_rId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" type="_x0000_tole_rId7" style="position:absolute;margin-left:57.6pt;margin-top:14.4pt;width:424.45pt;height:234pt;mso-wrap-distance-left:9.05pt;mso-wrap-distance-right:9.05pt;mso-position-horizontal-relative:text;mso-position-vertical-relative:text" filled="f" o:ole="">
            <v:imagedata r:id="rId8" o:title=""/>
            <w10:wrap type="topAndBottom"/>
          </v:shape>
          <o:OLEObject Type="Embed" ProgID="Excel.Sheet.12" ShapeID="ole_rId7" DrawAspect="Content" ObjectID="_1009653374" r:id="rId7"/>
        </w:objec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                     </w:t>
      </w:r>
    </w:p>
    <w:p>
      <w:pPr>
        <w:pStyle w:val="Department"/>
        <w:widowControl/>
        <w:numPr>
          <w:ilvl w:val="0"/>
          <w:numId w:val="4"/>
        </w:numPr>
        <w:tabs>
          <w:tab w:val="left" w:pos="12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270" w:start="12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Confirmation Delivery:  Deals confirmed in September 2000 totaled 24,756.  From this total, 93 confirmations have not been delivered.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numPr>
          <w:ilvl w:val="0"/>
          <w:numId w:val="6"/>
        </w:numPr>
        <w:tabs>
          <w:tab w:val="left" w:pos="540" w:leader="none"/>
          <w:tab w:val="left" w:pos="915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915" w:end="0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Financial Gas Confirmations – Unexecuted Confirmations Summary</w:t>
      </w:r>
    </w:p>
    <w:p>
      <w:pPr>
        <w:pStyle w:val="Department"/>
        <w:widowControl/>
        <w:tabs>
          <w:tab w:val="left" w:pos="54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555" w:end="0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</w:r>
    </w:p>
    <w:p>
      <w:pPr>
        <w:pStyle w:val="Department"/>
        <w:widowControl/>
        <w:tabs>
          <w:tab w:val="left" w:pos="900" w:leader="none"/>
          <w:tab w:val="left" w:pos="990" w:leader="none"/>
          <w:tab w:val="left" w:pos="144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/>
      </w:pPr>
      <w:r>
        <w:rPr>
          <w:rFonts w:cs="Times New Roman" w:ascii="Times New Roman" w:hAnsi="Times New Roman"/>
          <w:b/>
          <w:color w:val="000000"/>
        </w:rPr>
        <w:tab/>
        <w:t xml:space="preserve">Purpose:  </w:t>
      </w:r>
      <w:r>
        <w:rPr/>
        <w:t>Summarizes confirmations not executed as of September 30, 2000, categorized by deal month.</w:t>
      </w:r>
    </w:p>
    <w:tbl>
      <w:tblPr>
        <w:tblW w:w="629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656"/>
        <w:gridCol w:w="444"/>
        <w:gridCol w:w="929"/>
        <w:gridCol w:w="444"/>
        <w:gridCol w:w="912"/>
        <w:gridCol w:w="444"/>
        <w:gridCol w:w="1022"/>
        <w:gridCol w:w="444"/>
      </w:tblGrid>
      <w:tr>
        <w:trPr>
          <w:trHeight w:val="262" w:hRule="atLeast"/>
        </w:trPr>
        <w:tc>
          <w:tcPr>
            <w:tcW w:w="165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373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356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466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4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100" w:type="dxa"/>
            <w:gridSpan w:val="2"/>
            <w:tcBorders/>
          </w:tcPr>
          <w:p>
            <w:pPr>
              <w:pStyle w:val="Heading4"/>
              <w:rPr/>
            </w:pPr>
            <w:r>
              <w:rPr/>
              <w:t>Trade</w:t>
            </w:r>
          </w:p>
        </w:tc>
        <w:tc>
          <w:tcPr>
            <w:tcW w:w="1373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356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66" w:type="dxa"/>
            <w:gridSpan w:val="2"/>
            <w:tcBorders/>
          </w:tcPr>
          <w:p>
            <w:pPr>
              <w:pStyle w:val="Normal"/>
              <w:jc w:val="center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%</w:t>
            </w:r>
          </w:p>
        </w:tc>
      </w:tr>
      <w:tr>
        <w:trPr>
          <w:trHeight w:val="262" w:hRule="atLeast"/>
        </w:trPr>
        <w:tc>
          <w:tcPr>
            <w:tcW w:w="2100" w:type="dxa"/>
            <w:gridSpan w:val="2"/>
            <w:tcBorders/>
          </w:tcPr>
          <w:p>
            <w:pPr>
              <w:pStyle w:val="Normal"/>
              <w:ind w:start="776" w:end="0"/>
              <w:jc w:val="center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Month</w:t>
            </w:r>
          </w:p>
        </w:tc>
        <w:tc>
          <w:tcPr>
            <w:tcW w:w="1373" w:type="dxa"/>
            <w:gridSpan w:val="2"/>
            <w:tcBorders/>
          </w:tcPr>
          <w:p>
            <w:pPr>
              <w:pStyle w:val="Normal"/>
              <w:jc w:val="center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Confirms</w:t>
            </w:r>
          </w:p>
        </w:tc>
        <w:tc>
          <w:tcPr>
            <w:tcW w:w="1356" w:type="dxa"/>
            <w:gridSpan w:val="2"/>
            <w:tcBorders/>
          </w:tcPr>
          <w:p>
            <w:pPr>
              <w:pStyle w:val="Normal"/>
              <w:jc w:val="center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Unexecuted</w:t>
            </w:r>
          </w:p>
        </w:tc>
        <w:tc>
          <w:tcPr>
            <w:tcW w:w="1466" w:type="dxa"/>
            <w:gridSpan w:val="2"/>
            <w:tcBorders/>
          </w:tcPr>
          <w:p>
            <w:pPr>
              <w:pStyle w:val="Normal"/>
              <w:jc w:val="center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Unexecuted</w:t>
            </w:r>
          </w:p>
        </w:tc>
      </w:tr>
      <w:tr>
        <w:trPr>
          <w:trHeight w:val="262" w:hRule="atLeast"/>
        </w:trPr>
        <w:tc>
          <w:tcPr>
            <w:tcW w:w="2100" w:type="dxa"/>
            <w:gridSpan w:val="2"/>
            <w:tcBorders/>
          </w:tcPr>
          <w:p>
            <w:pPr>
              <w:pStyle w:val="Normal"/>
              <w:snapToGrid w:val="false"/>
              <w:ind w:start="776" w:end="0"/>
              <w:jc w:val="center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373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356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466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100" w:type="dxa"/>
            <w:gridSpan w:val="2"/>
            <w:tcBorders/>
          </w:tcPr>
          <w:p>
            <w:pPr>
              <w:pStyle w:val="Normal"/>
              <w:ind w:start="776" w:end="0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1999 and Prior</w:t>
            </w:r>
          </w:p>
        </w:tc>
        <w:tc>
          <w:tcPr>
            <w:tcW w:w="1373" w:type="dxa"/>
            <w:gridSpan w:val="2"/>
            <w:tcBorders/>
          </w:tcPr>
          <w:p>
            <w:pPr>
              <w:pStyle w:val="Normal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356" w:type="dxa"/>
            <w:gridSpan w:val="2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181</w:t>
            </w:r>
          </w:p>
        </w:tc>
        <w:tc>
          <w:tcPr>
            <w:tcW w:w="1466" w:type="dxa"/>
            <w:gridSpan w:val="2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-</w:t>
            </w:r>
          </w:p>
        </w:tc>
      </w:tr>
      <w:tr>
        <w:trPr>
          <w:trHeight w:val="262" w:hRule="atLeast"/>
        </w:trPr>
        <w:tc>
          <w:tcPr>
            <w:tcW w:w="2100" w:type="dxa"/>
            <w:gridSpan w:val="2"/>
            <w:tcBorders/>
          </w:tcPr>
          <w:p>
            <w:pPr>
              <w:pStyle w:val="Normal"/>
              <w:ind w:start="776" w:end="0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1/00 - 6/00</w:t>
            </w:r>
          </w:p>
        </w:tc>
        <w:tc>
          <w:tcPr>
            <w:tcW w:w="1373" w:type="dxa"/>
            <w:gridSpan w:val="2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28512</w:t>
            </w:r>
          </w:p>
        </w:tc>
        <w:tc>
          <w:tcPr>
            <w:tcW w:w="1356" w:type="dxa"/>
            <w:gridSpan w:val="2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448</w:t>
            </w:r>
          </w:p>
        </w:tc>
        <w:tc>
          <w:tcPr>
            <w:tcW w:w="1466" w:type="dxa"/>
            <w:gridSpan w:val="2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1.57%</w:t>
            </w:r>
          </w:p>
        </w:tc>
      </w:tr>
      <w:tr>
        <w:trPr>
          <w:trHeight w:val="262" w:hRule="atLeast"/>
        </w:trPr>
        <w:tc>
          <w:tcPr>
            <w:tcW w:w="2100" w:type="dxa"/>
            <w:gridSpan w:val="2"/>
            <w:tcBorders/>
          </w:tcPr>
          <w:p>
            <w:pPr>
              <w:pStyle w:val="Normal"/>
              <w:ind w:start="776" w:end="0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Jul-00</w:t>
            </w:r>
          </w:p>
        </w:tc>
        <w:tc>
          <w:tcPr>
            <w:tcW w:w="1373" w:type="dxa"/>
            <w:gridSpan w:val="2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18004</w:t>
            </w:r>
          </w:p>
        </w:tc>
        <w:tc>
          <w:tcPr>
            <w:tcW w:w="1356" w:type="dxa"/>
            <w:gridSpan w:val="2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148</w:t>
            </w:r>
          </w:p>
        </w:tc>
        <w:tc>
          <w:tcPr>
            <w:tcW w:w="1466" w:type="dxa"/>
            <w:gridSpan w:val="2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0.82%</w:t>
            </w:r>
          </w:p>
        </w:tc>
      </w:tr>
      <w:tr>
        <w:trPr>
          <w:trHeight w:val="262" w:hRule="atLeast"/>
        </w:trPr>
        <w:tc>
          <w:tcPr>
            <w:tcW w:w="2100" w:type="dxa"/>
            <w:gridSpan w:val="2"/>
            <w:tcBorders/>
          </w:tcPr>
          <w:p>
            <w:pPr>
              <w:pStyle w:val="Normal"/>
              <w:ind w:start="776" w:end="0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Aug-00</w:t>
            </w:r>
          </w:p>
        </w:tc>
        <w:tc>
          <w:tcPr>
            <w:tcW w:w="1373" w:type="dxa"/>
            <w:gridSpan w:val="2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26309</w:t>
            </w:r>
          </w:p>
        </w:tc>
        <w:tc>
          <w:tcPr>
            <w:tcW w:w="1356" w:type="dxa"/>
            <w:gridSpan w:val="2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341</w:t>
            </w:r>
          </w:p>
        </w:tc>
        <w:tc>
          <w:tcPr>
            <w:tcW w:w="1466" w:type="dxa"/>
            <w:gridSpan w:val="2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1.30%</w:t>
            </w:r>
          </w:p>
        </w:tc>
      </w:tr>
      <w:tr>
        <w:trPr>
          <w:trHeight w:val="262" w:hRule="atLeast"/>
        </w:trPr>
        <w:tc>
          <w:tcPr>
            <w:tcW w:w="2100" w:type="dxa"/>
            <w:gridSpan w:val="2"/>
            <w:tcBorders/>
          </w:tcPr>
          <w:p>
            <w:pPr>
              <w:pStyle w:val="Normal"/>
              <w:ind w:start="776" w:end="0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Sep-00</w:t>
            </w:r>
          </w:p>
        </w:tc>
        <w:tc>
          <w:tcPr>
            <w:tcW w:w="1373" w:type="dxa"/>
            <w:gridSpan w:val="2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24116</w:t>
            </w:r>
          </w:p>
        </w:tc>
        <w:tc>
          <w:tcPr>
            <w:tcW w:w="1356" w:type="dxa"/>
            <w:gridSpan w:val="2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403</w:t>
            </w:r>
          </w:p>
        </w:tc>
        <w:tc>
          <w:tcPr>
            <w:tcW w:w="1466" w:type="dxa"/>
            <w:gridSpan w:val="2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1.67%</w:t>
            </w:r>
          </w:p>
        </w:tc>
      </w:tr>
      <w:tr>
        <w:trPr>
          <w:trHeight w:val="154" w:hRule="atLeast"/>
        </w:trPr>
        <w:tc>
          <w:tcPr>
            <w:tcW w:w="2100" w:type="dxa"/>
            <w:gridSpan w:val="2"/>
            <w:tcBorders/>
          </w:tcPr>
          <w:p>
            <w:pPr>
              <w:pStyle w:val="Normal"/>
              <w:snapToGrid w:val="false"/>
              <w:ind w:start="776" w:end="0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373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356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466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</w:tr>
      <w:tr>
        <w:trPr>
          <w:trHeight w:val="183" w:hRule="atLeast"/>
        </w:trPr>
        <w:tc>
          <w:tcPr>
            <w:tcW w:w="2100" w:type="dxa"/>
            <w:gridSpan w:val="2"/>
            <w:tcBorders/>
          </w:tcPr>
          <w:p>
            <w:pPr>
              <w:pStyle w:val="Normal"/>
              <w:ind w:start="776" w:end="0"/>
              <w:jc w:val="center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Total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96941</w:t>
            </w:r>
          </w:p>
        </w:tc>
        <w:tc>
          <w:tcPr>
            <w:tcW w:w="1356" w:type="dxa"/>
            <w:gridSpan w:val="2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1521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1.38%</w:t>
            </w:r>
          </w:p>
        </w:tc>
      </w:tr>
      <w:tr>
        <w:trPr>
          <w:trHeight w:val="276" w:hRule="atLeast"/>
        </w:trPr>
        <w:tc>
          <w:tcPr>
            <w:tcW w:w="1656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373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356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466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44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</w:tr>
    </w:tbl>
    <w:p>
      <w:pPr>
        <w:pStyle w:val="Department"/>
        <w:widowControl/>
        <w:tabs>
          <w:tab w:val="left" w:pos="54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</w:r>
    </w:p>
    <w:p>
      <w:pPr>
        <w:pStyle w:val="Department"/>
        <w:widowControl/>
        <w:tabs>
          <w:tab w:val="left" w:pos="54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</w:r>
    </w:p>
    <w:p>
      <w:pPr>
        <w:pStyle w:val="Department"/>
        <w:widowControl/>
        <w:tabs>
          <w:tab w:val="left" w:pos="54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54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54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54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54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54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numPr>
          <w:ilvl w:val="0"/>
          <w:numId w:val="9"/>
        </w:numPr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Confirmation Process (Continued)</w:t>
      </w:r>
    </w:p>
    <w:p>
      <w:pPr>
        <w:pStyle w:val="Department"/>
        <w:widowControl/>
        <w:tabs>
          <w:tab w:val="left" w:pos="54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</w:r>
    </w:p>
    <w:p>
      <w:pPr>
        <w:pStyle w:val="Department"/>
        <w:widowControl/>
        <w:tabs>
          <w:tab w:val="left" w:pos="54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numPr>
          <w:ilvl w:val="0"/>
          <w:numId w:val="6"/>
        </w:numPr>
        <w:tabs>
          <w:tab w:val="left" w:pos="540" w:leader="none"/>
          <w:tab w:val="left" w:pos="915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915" w:end="0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Power Confirmations – Unexecuted Confirmations Summary</w:t>
      </w:r>
    </w:p>
    <w:p>
      <w:pPr>
        <w:pStyle w:val="Department"/>
        <w:widowControl/>
        <w:tabs>
          <w:tab w:val="left" w:pos="54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555" w:end="0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</w:r>
    </w:p>
    <w:p>
      <w:pPr>
        <w:pStyle w:val="Department"/>
        <w:widowControl/>
        <w:tabs>
          <w:tab w:val="left" w:pos="90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0" w:end="0"/>
        <w:jc w:val="both"/>
        <w:rPr/>
      </w:pPr>
      <w:r>
        <w:rPr>
          <w:rFonts w:cs="Times New Roman" w:ascii="Times New Roman" w:hAnsi="Times New Roman"/>
          <w:b/>
          <w:color w:val="000000"/>
        </w:rPr>
        <w:t xml:space="preserve">Purpose:  </w:t>
      </w:r>
      <w:r>
        <w:rPr>
          <w:rFonts w:cs="Times New Roman" w:ascii="Times New Roman" w:hAnsi="Times New Roman"/>
          <w:color w:val="000000"/>
        </w:rPr>
        <w:t>Summarizes confirmations not executed as of September 30, 2000, categorized by deal month.</w:t>
      </w:r>
      <w:r>
        <w:rPr>
          <w:rFonts w:cs="Times New Roman" w:ascii="Times New Roman" w:hAnsi="Times New Roman"/>
          <w:b/>
          <w:color w:val="000000"/>
        </w:rPr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1890" w:end="0"/>
        <w:jc w:val="both"/>
        <w:rPr/>
      </w:pPr>
      <w:r>
        <w:rPr/>
        <w:tab/>
      </w:r>
    </w:p>
    <w:tbl>
      <w:tblPr>
        <w:tblW w:w="707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180"/>
        <w:gridCol w:w="1214"/>
        <w:gridCol w:w="1342"/>
        <w:gridCol w:w="1342"/>
      </w:tblGrid>
      <w:tr>
        <w:trPr>
          <w:trHeight w:val="262" w:hRule="atLeast"/>
        </w:trPr>
        <w:tc>
          <w:tcPr>
            <w:tcW w:w="3180" w:type="dxa"/>
            <w:tcBorders/>
          </w:tcPr>
          <w:p>
            <w:pPr>
              <w:pStyle w:val="Heading2"/>
              <w:ind w:hanging="0" w:start="428" w:end="-282"/>
              <w:rPr/>
            </w:pPr>
            <w:r>
              <w:rPr/>
              <w:t>Trade</w:t>
            </w:r>
          </w:p>
        </w:tc>
        <w:tc>
          <w:tcPr>
            <w:tcW w:w="1214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1342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%</w:t>
            </w:r>
          </w:p>
        </w:tc>
      </w:tr>
      <w:tr>
        <w:trPr>
          <w:trHeight w:val="262" w:hRule="atLeast"/>
        </w:trPr>
        <w:tc>
          <w:tcPr>
            <w:tcW w:w="3180" w:type="dxa"/>
            <w:tcBorders/>
          </w:tcPr>
          <w:p>
            <w:pPr>
              <w:pStyle w:val="Normal"/>
              <w:tabs>
                <w:tab w:val="clear" w:pos="540"/>
                <w:tab w:val="left" w:pos="630" w:leader="none"/>
              </w:tabs>
              <w:ind w:start="428" w:end="-282"/>
              <w:jc w:val="center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Month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center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Confirms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Unexecuted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Unexecuted</w:t>
            </w:r>
          </w:p>
        </w:tc>
      </w:tr>
      <w:tr>
        <w:trPr>
          <w:trHeight w:val="262" w:hRule="atLeast"/>
        </w:trPr>
        <w:tc>
          <w:tcPr>
            <w:tcW w:w="3180" w:type="dxa"/>
            <w:tcBorders/>
          </w:tcPr>
          <w:p>
            <w:pPr>
              <w:pStyle w:val="Normal"/>
              <w:tabs>
                <w:tab w:val="clear" w:pos="540"/>
                <w:tab w:val="left" w:pos="630" w:leader="none"/>
              </w:tabs>
              <w:ind w:start="428" w:end="-282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Dec-99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3681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0.03%</w:t>
            </w:r>
          </w:p>
        </w:tc>
      </w:tr>
      <w:tr>
        <w:trPr>
          <w:trHeight w:val="262" w:hRule="atLeast"/>
        </w:trPr>
        <w:tc>
          <w:tcPr>
            <w:tcW w:w="3180" w:type="dxa"/>
            <w:tcBorders/>
          </w:tcPr>
          <w:p>
            <w:pPr>
              <w:pStyle w:val="Normal"/>
              <w:tabs>
                <w:tab w:val="clear" w:pos="540"/>
                <w:tab w:val="left" w:pos="630" w:leader="none"/>
              </w:tabs>
              <w:ind w:start="428" w:end="-282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Jan-00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6785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0.00%</w:t>
            </w:r>
          </w:p>
        </w:tc>
      </w:tr>
      <w:tr>
        <w:trPr>
          <w:trHeight w:val="262" w:hRule="atLeast"/>
        </w:trPr>
        <w:tc>
          <w:tcPr>
            <w:tcW w:w="3180" w:type="dxa"/>
            <w:tcBorders/>
          </w:tcPr>
          <w:p>
            <w:pPr>
              <w:pStyle w:val="Normal"/>
              <w:tabs>
                <w:tab w:val="clear" w:pos="540"/>
                <w:tab w:val="left" w:pos="630" w:leader="none"/>
              </w:tabs>
              <w:ind w:start="428" w:end="-282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Feb-00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7352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0.01%</w:t>
            </w:r>
          </w:p>
        </w:tc>
      </w:tr>
      <w:tr>
        <w:trPr>
          <w:trHeight w:val="262" w:hRule="atLeast"/>
        </w:trPr>
        <w:tc>
          <w:tcPr>
            <w:tcW w:w="3180" w:type="dxa"/>
            <w:tcBorders/>
          </w:tcPr>
          <w:p>
            <w:pPr>
              <w:pStyle w:val="Normal"/>
              <w:tabs>
                <w:tab w:val="clear" w:pos="540"/>
                <w:tab w:val="left" w:pos="630" w:leader="none"/>
              </w:tabs>
              <w:ind w:start="428" w:end="-282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Mar-00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9077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0.02%</w:t>
            </w:r>
          </w:p>
        </w:tc>
      </w:tr>
      <w:tr>
        <w:trPr>
          <w:trHeight w:val="262" w:hRule="atLeast"/>
        </w:trPr>
        <w:tc>
          <w:tcPr>
            <w:tcW w:w="3180" w:type="dxa"/>
            <w:tcBorders/>
          </w:tcPr>
          <w:p>
            <w:pPr>
              <w:pStyle w:val="Normal"/>
              <w:tabs>
                <w:tab w:val="clear" w:pos="540"/>
                <w:tab w:val="left" w:pos="630" w:leader="none"/>
              </w:tabs>
              <w:ind w:start="428" w:end="-282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Apr-00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7438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0.05%</w:t>
            </w:r>
          </w:p>
        </w:tc>
      </w:tr>
      <w:tr>
        <w:trPr>
          <w:trHeight w:val="262" w:hRule="atLeast"/>
        </w:trPr>
        <w:tc>
          <w:tcPr>
            <w:tcW w:w="3180" w:type="dxa"/>
            <w:tcBorders/>
          </w:tcPr>
          <w:p>
            <w:pPr>
              <w:pStyle w:val="Normal"/>
              <w:tabs>
                <w:tab w:val="clear" w:pos="540"/>
                <w:tab w:val="left" w:pos="630" w:leader="none"/>
              </w:tabs>
              <w:ind w:start="428" w:end="-282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May-00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7013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14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0.20%</w:t>
            </w:r>
          </w:p>
        </w:tc>
      </w:tr>
      <w:tr>
        <w:trPr>
          <w:trHeight w:val="262" w:hRule="atLeast"/>
        </w:trPr>
        <w:tc>
          <w:tcPr>
            <w:tcW w:w="3180" w:type="dxa"/>
            <w:tcBorders/>
          </w:tcPr>
          <w:p>
            <w:pPr>
              <w:pStyle w:val="Normal"/>
              <w:tabs>
                <w:tab w:val="clear" w:pos="540"/>
                <w:tab w:val="left" w:pos="630" w:leader="none"/>
              </w:tabs>
              <w:ind w:start="428" w:end="-282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Jun-00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6240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13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0.21%</w:t>
            </w:r>
          </w:p>
        </w:tc>
      </w:tr>
      <w:tr>
        <w:trPr>
          <w:trHeight w:val="262" w:hRule="atLeast"/>
        </w:trPr>
        <w:tc>
          <w:tcPr>
            <w:tcW w:w="3180" w:type="dxa"/>
            <w:tcBorders/>
          </w:tcPr>
          <w:p>
            <w:pPr>
              <w:pStyle w:val="Normal"/>
              <w:tabs>
                <w:tab w:val="clear" w:pos="540"/>
                <w:tab w:val="left" w:pos="630" w:leader="none"/>
              </w:tabs>
              <w:ind w:start="428" w:end="-282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Jul-00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6511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29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0.45%</w:t>
            </w:r>
          </w:p>
        </w:tc>
      </w:tr>
      <w:tr>
        <w:trPr>
          <w:trHeight w:val="262" w:hRule="atLeast"/>
        </w:trPr>
        <w:tc>
          <w:tcPr>
            <w:tcW w:w="3180" w:type="dxa"/>
            <w:tcBorders/>
          </w:tcPr>
          <w:p>
            <w:pPr>
              <w:pStyle w:val="Normal"/>
              <w:tabs>
                <w:tab w:val="clear" w:pos="540"/>
                <w:tab w:val="left" w:pos="630" w:leader="none"/>
              </w:tabs>
              <w:ind w:start="428" w:end="-282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Aug-00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9370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81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0.86%</w:t>
            </w:r>
          </w:p>
        </w:tc>
      </w:tr>
      <w:tr>
        <w:trPr>
          <w:trHeight w:val="262" w:hRule="atLeast"/>
        </w:trPr>
        <w:tc>
          <w:tcPr>
            <w:tcW w:w="3180" w:type="dxa"/>
            <w:tcBorders/>
          </w:tcPr>
          <w:p>
            <w:pPr>
              <w:pStyle w:val="Normal"/>
              <w:tabs>
                <w:tab w:val="clear" w:pos="540"/>
                <w:tab w:val="left" w:pos="630" w:leader="none"/>
              </w:tabs>
              <w:ind w:start="428" w:end="-282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Sep-00</w:t>
            </w:r>
          </w:p>
        </w:tc>
        <w:tc>
          <w:tcPr>
            <w:tcW w:w="1214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8794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480</w:t>
            </w:r>
          </w:p>
        </w:tc>
        <w:tc>
          <w:tcPr>
            <w:tcW w:w="1342" w:type="dxa"/>
            <w:tcBorders/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5.46%</w:t>
            </w:r>
          </w:p>
        </w:tc>
      </w:tr>
      <w:tr>
        <w:trPr>
          <w:trHeight w:val="262" w:hRule="atLeast"/>
        </w:trPr>
        <w:tc>
          <w:tcPr>
            <w:tcW w:w="3180" w:type="dxa"/>
            <w:tcBorders/>
          </w:tcPr>
          <w:p>
            <w:pPr>
              <w:pStyle w:val="Normal"/>
              <w:tabs>
                <w:tab w:val="clear" w:pos="540"/>
                <w:tab w:val="left" w:pos="630" w:leader="none"/>
              </w:tabs>
              <w:snapToGrid w:val="false"/>
              <w:ind w:start="428" w:end="-282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34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34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</w:tr>
      <w:tr>
        <w:trPr>
          <w:trHeight w:val="276" w:hRule="atLeast"/>
        </w:trPr>
        <w:tc>
          <w:tcPr>
            <w:tcW w:w="3180" w:type="dxa"/>
            <w:tcBorders/>
          </w:tcPr>
          <w:p>
            <w:pPr>
              <w:pStyle w:val="Normal"/>
              <w:tabs>
                <w:tab w:val="clear" w:pos="540"/>
                <w:tab w:val="left" w:pos="630" w:leader="none"/>
              </w:tabs>
              <w:ind w:start="428" w:end="-282"/>
              <w:jc w:val="center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Total</w:t>
            </w:r>
          </w:p>
        </w:tc>
        <w:tc>
          <w:tcPr>
            <w:tcW w:w="1214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72261</w:t>
            </w:r>
          </w:p>
        </w:tc>
        <w:tc>
          <w:tcPr>
            <w:tcW w:w="1342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625</w:t>
            </w:r>
          </w:p>
        </w:tc>
        <w:tc>
          <w:tcPr>
            <w:tcW w:w="1342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0.86%</w:t>
            </w:r>
          </w:p>
        </w:tc>
      </w:tr>
      <w:tr>
        <w:trPr>
          <w:trHeight w:val="276" w:hRule="atLeast"/>
        </w:trPr>
        <w:tc>
          <w:tcPr>
            <w:tcW w:w="3180" w:type="dxa"/>
            <w:tcBorders/>
          </w:tcPr>
          <w:p>
            <w:pPr>
              <w:pStyle w:val="Normal"/>
              <w:tabs>
                <w:tab w:val="clear" w:pos="540"/>
                <w:tab w:val="left" w:pos="630" w:leader="none"/>
              </w:tabs>
              <w:snapToGrid w:val="false"/>
              <w:ind w:start="428" w:end="-282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34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342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</w:tbl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189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C.  Risk Reporting Process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numPr>
          <w:ilvl w:val="0"/>
          <w:numId w:val="8"/>
        </w:numPr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Official Books Exception Report</w:t>
        <w:tab/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/>
      </w:pPr>
      <w:r>
        <w:rPr>
          <w:rFonts w:cs="Times New Roman" w:ascii="Times New Roman" w:hAnsi="Times New Roman"/>
          <w:b/>
          <w:color w:val="000000"/>
          <w:sz w:val="24"/>
        </w:rPr>
        <w:tab/>
        <w:tab/>
      </w:r>
      <w:r>
        <w:rPr>
          <w:rFonts w:cs="Times New Roman" w:ascii="Times New Roman" w:hAnsi="Times New Roman"/>
          <w:b/>
          <w:color w:val="000000"/>
        </w:rPr>
        <w:t xml:space="preserve">Purpose:   </w:t>
      </w:r>
      <w:r>
        <w:rPr>
          <w:rFonts w:cs="Times New Roman" w:ascii="Times New Roman" w:hAnsi="Times New Roman"/>
          <w:color w:val="000000"/>
        </w:rPr>
        <w:t>Lists instances of books not officialized based on a master listing of books</w:t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ab/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object w:dxaOrig="10240" w:dyaOrig="6400">
          <v:shapetype id="_x0000_tole_rId9" coordsize="21600,21600" o:spt="ole_rId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" type="_x0000_tole_rId9" style="position:absolute;margin-left:21.6pt;margin-top:16.8pt;width:517.5pt;height:318pt;mso-wrap-distance-left:9.05pt;mso-wrap-distance-right:9.05pt;mso-position-horizontal-relative:text;mso-position-vertical-relative:text" filled="f" o:ole="">
            <v:imagedata r:id="rId10" o:title=""/>
            <w10:wrap type="topAndBottom"/>
          </v:shape>
          <o:OLEObject Type="Embed" ProgID="Excel.Sheet.12" ShapeID="ole_rId9" DrawAspect="Content" ObjectID="_258733466" r:id="rId9"/>
        </w:object>
      </w:r>
      <w:r>
        <w:rPr>
          <w:rFonts w:cs="Times New Roman" w:ascii="Times New Roman" w:hAnsi="Times New Roman"/>
          <w:color w:val="000000"/>
        </w:rPr>
        <w:tab/>
        <w:tab/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</w:rPr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color w:val="000000"/>
        </w:rPr>
        <w:tab/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ab/>
        <w:t xml:space="preserve">2.   Cash Flows Exception Summary 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/>
      </w:pPr>
      <w:r>
        <w:rPr>
          <w:rFonts w:cs="Times New Roman" w:ascii="Times New Roman" w:hAnsi="Times New Roman"/>
          <w:b/>
          <w:color w:val="000000"/>
        </w:rPr>
        <w:tab/>
        <w:t xml:space="preserve">Purpose:   </w:t>
      </w:r>
      <w:r>
        <w:rPr>
          <w:rFonts w:cs="Times New Roman" w:ascii="Times New Roman" w:hAnsi="Times New Roman"/>
          <w:color w:val="000000"/>
        </w:rPr>
        <w:t>Summarizes Issues Associated with the Transfer of Cash Flows to the IR/FX Infinity System</w:t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9/1/00</w:t>
        <w:tab/>
        <w:t>Enpower-West</w:t>
        <w:tab/>
        <w:t>Incorrect cash flows provided</w:t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9/6/00</w:t>
        <w:tab/>
        <w:t>EI-GNS-Gas-Price</w:t>
        <w:tab/>
        <w:t>Incorrect cash flows provided due to Bolivian curve loading process</w:t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9/7/00</w:t>
        <w:tab/>
        <w:t>EES-Enpower</w:t>
        <w:tab/>
        <w:t>Received large EES cash flows in error</w:t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9/8/00</w:t>
        <w:tab/>
        <w:t>All books</w:t>
        <w:tab/>
        <w:t>ERMS connection failure</w:t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9/12/00</w:t>
        <w:tab/>
        <w:t>All books</w:t>
        <w:tab/>
        <w:t>ERMS connection failure and Enpower system problem</w:t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9/14/00</w:t>
        <w:tab/>
        <w:t>All books</w:t>
        <w:tab/>
        <w:t>ERMS disk full causing failure</w:t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9/15/00</w:t>
        <w:tab/>
        <w:t>FT-Denver-Idx</w:t>
        <w:tab/>
        <w:t xml:space="preserve">Incorrect cash flows due to test deal put in official book </w:t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9/18/00</w:t>
        <w:tab/>
        <w:t>FT-CAD-EGSC-IDX</w:t>
        <w:tab/>
        <w:t>Incorrect cash flows due to officializing wrong book</w:t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9/20/00</w:t>
        <w:tab/>
        <w:t>FT-Denver</w:t>
        <w:tab/>
        <w:t>Significant cash flows not communictaed to IR/FX desk</w:t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ab/>
        <w:t>40 UK Liquids Books</w:t>
        <w:tab/>
        <w:t>Cash flow transfer failed due to RisktRAC system problem</w:t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9/21/00</w:t>
        <w:tab/>
        <w:t>All books</w:t>
        <w:tab/>
        <w:t>JAVA environment corrupted, no cash flows pulled</w:t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9/28/00</w:t>
        <w:tab/>
        <w:t>NG-Price-PRC</w:t>
        <w:tab/>
        <w:t>Significant curve shift change not communicated in advance</w:t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153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ab/>
        <w:t xml:space="preserve">3.   Positions in VAR Exception Summary 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/>
      </w:pPr>
      <w:r>
        <w:rPr>
          <w:rFonts w:cs="Times New Roman" w:ascii="Times New Roman" w:hAnsi="Times New Roman"/>
          <w:b/>
          <w:color w:val="000000"/>
        </w:rPr>
        <w:tab/>
        <w:t xml:space="preserve">Purpose:   </w:t>
      </w:r>
      <w:r>
        <w:rPr>
          <w:rFonts w:cs="Times New Roman" w:ascii="Times New Roman" w:hAnsi="Times New Roman"/>
          <w:color w:val="000000"/>
        </w:rPr>
        <w:t>Summarizes books with positions that were not in the VAR calculation</w:t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/>
      </w:pPr>
      <w:r>
        <w:rPr>
          <w:rFonts w:cs="Times New Roman" w:ascii="Times New Roman" w:hAnsi="Times New Roman"/>
          <w:color w:val="000000"/>
        </w:rPr>
        <w:tab/>
      </w:r>
      <w:r>
        <w:rPr>
          <w:rFonts w:cs="Times New Roman" w:ascii="Times New Roman" w:hAnsi="Times New Roman"/>
          <w:i/>
          <w:color w:val="000000"/>
        </w:rPr>
        <w:t>In development.</w:t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b/>
          <w:i/>
          <w:i/>
          <w:color w:val="000000"/>
        </w:rPr>
      </w:pPr>
      <w:r>
        <w:rPr>
          <w:rFonts w:cs="Times New Roman" w:ascii="Times New Roman" w:hAnsi="Times New Roman"/>
          <w:b/>
          <w:i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ab/>
        <w:t xml:space="preserve">4.   DPR Deadline Exception Report 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/>
      </w:pPr>
      <w:r>
        <w:rPr>
          <w:rFonts w:cs="Times New Roman" w:ascii="Times New Roman" w:hAnsi="Times New Roman"/>
          <w:b/>
          <w:color w:val="000000"/>
        </w:rPr>
        <w:tab/>
        <w:t xml:space="preserve">Purpose:   </w:t>
      </w:r>
      <w:r>
        <w:rPr>
          <w:rFonts w:cs="Times New Roman" w:ascii="Times New Roman" w:hAnsi="Times New Roman"/>
          <w:color w:val="000000"/>
        </w:rPr>
        <w:t>Summarizes DPR data exported after the DPR daily deadline (12:00 noon)</w:t>
      </w:r>
    </w:p>
    <w:p>
      <w:pPr>
        <w:pStyle w:val="Department"/>
        <w:widowControl/>
        <w:tabs>
          <w:tab w:val="left" w:pos="45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45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object w:dxaOrig="10240" w:dyaOrig="6401">
          <v:shapetype id="_x0000_tole_rId11" coordsize="21600,21600" o:spt="ole_rId1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" type="_x0000_tole_rId11" style="position:absolute;margin-left:28.8pt;margin-top:20.05pt;width:528pt;height:326.25pt;mso-wrap-distance-left:9.05pt;mso-wrap-distance-right:9.05pt;mso-position-horizontal-relative:text;mso-position-vertical-relative:text" filled="f" o:ole="">
            <v:imagedata r:id="rId12" o:title=""/>
            <w10:wrap type="topAndBottom"/>
          </v:shape>
          <o:OLEObject Type="Embed" ProgID="Excel.Sheet.12" ShapeID="ole_rId11" DrawAspect="Content" ObjectID="_2108720416" r:id="rId11"/>
        </w:object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ab/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</w:rPr>
        <w:t>5.   Operational Analysis Adjustments Summary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 xml:space="preserve">     </w:t>
      </w:r>
      <w:r>
        <w:rPr>
          <w:rFonts w:cs="Times New Roman" w:ascii="Times New Roman" w:hAnsi="Times New Roman"/>
          <w:b/>
          <w:color w:val="000000"/>
        </w:rPr>
        <w:tab/>
        <w:t xml:space="preserve">Purpose:   </w:t>
      </w:r>
      <w:r>
        <w:rPr>
          <w:rFonts w:cs="Times New Roman" w:ascii="Times New Roman" w:hAnsi="Times New Roman"/>
          <w:color w:val="000000"/>
        </w:rPr>
        <w:t>Summarizes prior month adjustments booked to the DPR in September 2000.</w:t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object w:dxaOrig="7681" w:dyaOrig="4864">
          <v:shapetype id="_x0000_tole_rId13" coordsize="21600,21600" o:spt="ole_rId1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" type="_x0000_tole_rId13" style="position:absolute;margin-left:50.4pt;margin-top:8.75pt;width:408pt;height:243.7pt;mso-wrap-distance-left:9.05pt;mso-wrap-distance-right:9.05pt;mso-position-horizontal-relative:text;mso-position-vertical-relative:text" filled="f" o:ole="">
            <v:imagedata r:id="rId14" o:title=""/>
            <w10:wrap type="topAndBottom"/>
          </v:shape>
          <o:OLEObject Type="Embed" ProgID="Excel.Sheet.12" ShapeID="ole_rId13" DrawAspect="Content" ObjectID="_965974688" r:id="rId13"/>
        </w:object>
        <w:object w:dxaOrig="7681" w:dyaOrig="4353">
          <v:shapetype id="_x0000_tole_rId15" coordsize="21600,21600" o:spt="ole_rId1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" type="_x0000_tole_rId15" style="position:absolute;margin-left:50.4pt;margin-top:280.8pt;width:409pt;height:218.1pt;mso-wrap-distance-left:9.05pt;mso-wrap-distance-right:9.05pt;mso-position-horizontal-relative:text;mso-position-vertical-relative:text" filled="f" o:ole="">
            <v:imagedata r:id="rId16" o:title=""/>
            <w10:wrap type="topAndBottom"/>
          </v:shape>
          <o:OLEObject Type="Embed" ProgID="Excel.Sheet.12" ShapeID="ole_rId15" DrawAspect="Content" ObjectID="_1909233511" r:id="rId15"/>
        </w:objec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object w:dxaOrig="7680" w:dyaOrig="4352">
          <v:shapetype id="_x0000_tole_rId17" coordsize="21600,21600" o:spt="ole_rId1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" type="_x0000_tole_rId17" style="position:absolute;margin-left:57.6pt;margin-top:-7.2pt;width:369.75pt;height:217.5pt;mso-wrap-distance-left:9.05pt;mso-wrap-distance-right:9.05pt;mso-position-horizontal-relative:text;mso-position-vertical-relative:text" filled="f" o:ole="">
            <v:imagedata r:id="rId18" o:title=""/>
            <w10:wrap type="topAndBottom"/>
          </v:shape>
          <o:OLEObject Type="Embed" ProgID="Excel.Sheet.12" ShapeID="ole_rId17" DrawAspect="Content" ObjectID="_1971024237" r:id="rId17"/>
        </w:objec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color w:val="000000"/>
        </w:rPr>
        <w:tab/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D.  Settlements Process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</w:r>
    </w:p>
    <w:p>
      <w:pPr>
        <w:pStyle w:val="Department"/>
        <w:widowControl/>
        <w:numPr>
          <w:ilvl w:val="0"/>
          <w:numId w:val="3"/>
        </w:numPr>
        <w:tabs>
          <w:tab w:val="left" w:pos="450" w:leader="none"/>
          <w:tab w:val="left" w:pos="117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firstLine="90" w:start="45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>Summarized A/R Aging Report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W w:w="480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838"/>
        <w:gridCol w:w="411"/>
        <w:gridCol w:w="661"/>
        <w:gridCol w:w="411"/>
        <w:gridCol w:w="233"/>
        <w:gridCol w:w="1246"/>
      </w:tblGrid>
      <w:tr>
        <w:trPr>
          <w:trHeight w:val="187" w:hRule="atLeast"/>
        </w:trPr>
        <w:tc>
          <w:tcPr>
            <w:tcW w:w="1838" w:type="dxa"/>
            <w:tcBorders/>
          </w:tcPr>
          <w:p>
            <w:pPr>
              <w:pStyle w:val="Normal"/>
              <w:tabs>
                <w:tab w:val="left" w:pos="540" w:leader="none"/>
                <w:tab w:val="left" w:pos="1080" w:leader="none"/>
              </w:tabs>
              <w:snapToGrid w:val="false"/>
              <w:ind w:start="990" w:end="0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2551" w:type="dxa"/>
            <w:gridSpan w:val="4"/>
            <w:tcBorders/>
          </w:tcPr>
          <w:p>
            <w:pPr>
              <w:pStyle w:val="Heading5"/>
              <w:tabs>
                <w:tab w:val="clear" w:pos="1261"/>
                <w:tab w:val="left" w:pos="271" w:leader="none"/>
                <w:tab w:val="left" w:pos="451" w:leader="none"/>
                <w:tab w:val="left" w:pos="811" w:leader="none"/>
                <w:tab w:val="left" w:pos="1711" w:leader="none"/>
              </w:tabs>
              <w:ind w:end="-120"/>
              <w:jc w:val="start"/>
              <w:rPr/>
            </w:pPr>
            <w:r>
              <w:rPr>
                <w:rFonts w:eastAsia="Arial"/>
              </w:rPr>
              <w:t xml:space="preserve">                      </w:t>
            </w:r>
            <w:r>
              <w:rPr/>
              <w:t>A/R &gt; 90 Days</w:t>
            </w:r>
          </w:p>
        </w:tc>
      </w:tr>
      <w:tr>
        <w:trPr>
          <w:trHeight w:val="187" w:hRule="atLeast"/>
        </w:trPr>
        <w:tc>
          <w:tcPr>
            <w:tcW w:w="183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30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24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</w:tr>
      <w:tr>
        <w:trPr>
          <w:trHeight w:val="187" w:hRule="atLeast"/>
        </w:trPr>
        <w:tc>
          <w:tcPr>
            <w:tcW w:w="2910" w:type="dxa"/>
            <w:gridSpan w:val="3"/>
            <w:tcBorders/>
          </w:tcPr>
          <w:p>
            <w:pPr>
              <w:pStyle w:val="Normal"/>
              <w:tabs>
                <w:tab w:val="left" w:pos="540" w:leader="none"/>
                <w:tab w:val="left" w:pos="2340" w:leader="none"/>
              </w:tabs>
              <w:ind w:start="1170" w:end="0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Natural Gas - Houston</w:t>
            </w:r>
          </w:p>
        </w:tc>
        <w:tc>
          <w:tcPr>
            <w:tcW w:w="411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479" w:type="dxa"/>
            <w:gridSpan w:val="2"/>
            <w:tcBorders/>
          </w:tcPr>
          <w:p>
            <w:pPr>
              <w:pStyle w:val="Normal"/>
              <w:ind w:end="150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 xml:space="preserve">$12.7 </w:t>
            </w:r>
          </w:p>
        </w:tc>
      </w:tr>
      <w:tr>
        <w:trPr>
          <w:trHeight w:val="187" w:hRule="atLeast"/>
        </w:trPr>
        <w:tc>
          <w:tcPr>
            <w:tcW w:w="2910" w:type="dxa"/>
            <w:gridSpan w:val="3"/>
            <w:tcBorders/>
          </w:tcPr>
          <w:p>
            <w:pPr>
              <w:pStyle w:val="Normal"/>
              <w:tabs>
                <w:tab w:val="left" w:pos="540" w:leader="none"/>
                <w:tab w:val="left" w:pos="2340" w:leader="none"/>
              </w:tabs>
              <w:ind w:start="1170" w:end="0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Natural Gas - Calgary</w:t>
            </w:r>
          </w:p>
        </w:tc>
        <w:tc>
          <w:tcPr>
            <w:tcW w:w="411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479" w:type="dxa"/>
            <w:gridSpan w:val="2"/>
            <w:tcBorders/>
          </w:tcPr>
          <w:p>
            <w:pPr>
              <w:pStyle w:val="Normal"/>
              <w:tabs>
                <w:tab w:val="left" w:pos="540" w:leader="none"/>
                <w:tab w:val="left" w:pos="1089" w:leader="none"/>
              </w:tabs>
              <w:ind w:end="150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 xml:space="preserve">0.0 </w:t>
            </w:r>
          </w:p>
        </w:tc>
      </w:tr>
      <w:tr>
        <w:trPr>
          <w:trHeight w:val="187" w:hRule="atLeast"/>
        </w:trPr>
        <w:tc>
          <w:tcPr>
            <w:tcW w:w="2910" w:type="dxa"/>
            <w:gridSpan w:val="3"/>
            <w:tcBorders/>
          </w:tcPr>
          <w:p>
            <w:pPr>
              <w:pStyle w:val="Normal"/>
              <w:tabs>
                <w:tab w:val="left" w:pos="540" w:leader="none"/>
                <w:tab w:val="left" w:pos="2340" w:leader="none"/>
              </w:tabs>
              <w:ind w:start="1170" w:end="0"/>
              <w:rPr/>
            </w:pPr>
            <w:r>
              <w:rPr>
                <w:color w:val="000000"/>
                <w:sz w:val="16"/>
                <w:lang w:eastAsia="en-US"/>
              </w:rPr>
              <w:t xml:space="preserve">Power </w:t>
            </w:r>
            <w:r>
              <w:rPr>
                <w:color w:val="000000"/>
                <w:sz w:val="16"/>
                <w:vertAlign w:val="superscript"/>
                <w:lang w:eastAsia="en-US"/>
              </w:rPr>
              <w:t>(a)</w:t>
            </w:r>
          </w:p>
        </w:tc>
        <w:tc>
          <w:tcPr>
            <w:tcW w:w="411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6"/>
                <w:vertAlign w:val="superscript"/>
                <w:lang w:eastAsia="en-US"/>
              </w:rPr>
            </w:pPr>
            <w:r>
              <w:rPr>
                <w:color w:val="000000"/>
                <w:sz w:val="16"/>
                <w:vertAlign w:val="superscript"/>
                <w:lang w:eastAsia="en-US"/>
              </w:rPr>
            </w:r>
          </w:p>
        </w:tc>
        <w:tc>
          <w:tcPr>
            <w:tcW w:w="1479" w:type="dxa"/>
            <w:gridSpan w:val="2"/>
            <w:tcBorders/>
          </w:tcPr>
          <w:p>
            <w:pPr>
              <w:pStyle w:val="Normal"/>
              <w:ind w:end="150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 xml:space="preserve">14.0 </w:t>
            </w:r>
          </w:p>
        </w:tc>
      </w:tr>
      <w:tr>
        <w:trPr>
          <w:trHeight w:val="187" w:hRule="atLeast"/>
        </w:trPr>
        <w:tc>
          <w:tcPr>
            <w:tcW w:w="2910" w:type="dxa"/>
            <w:gridSpan w:val="3"/>
            <w:tcBorders/>
          </w:tcPr>
          <w:p>
            <w:pPr>
              <w:pStyle w:val="Normal"/>
              <w:tabs>
                <w:tab w:val="left" w:pos="540" w:leader="none"/>
                <w:tab w:val="left" w:pos="2340" w:leader="none"/>
              </w:tabs>
              <w:ind w:start="1170" w:end="0"/>
              <w:rPr/>
            </w:pPr>
            <w:r>
              <w:rPr>
                <w:color w:val="000000"/>
                <w:sz w:val="16"/>
                <w:lang w:eastAsia="en-US"/>
              </w:rPr>
              <w:t>Financial</w:t>
            </w:r>
            <w:r>
              <w:rPr>
                <w:color w:val="000000"/>
                <w:sz w:val="16"/>
                <w:vertAlign w:val="superscript"/>
                <w:lang w:eastAsia="en-US"/>
              </w:rPr>
              <w:t xml:space="preserve"> (b)</w:t>
            </w:r>
          </w:p>
        </w:tc>
        <w:tc>
          <w:tcPr>
            <w:tcW w:w="411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6"/>
                <w:vertAlign w:val="superscript"/>
                <w:lang w:eastAsia="en-US"/>
              </w:rPr>
            </w:pPr>
            <w:r>
              <w:rPr>
                <w:color w:val="000000"/>
                <w:sz w:val="16"/>
                <w:vertAlign w:val="superscript"/>
                <w:lang w:eastAsia="en-US"/>
              </w:rPr>
            </w:r>
          </w:p>
        </w:tc>
        <w:tc>
          <w:tcPr>
            <w:tcW w:w="1479" w:type="dxa"/>
            <w:gridSpan w:val="2"/>
            <w:tcBorders/>
          </w:tcPr>
          <w:p>
            <w:pPr>
              <w:pStyle w:val="Normal"/>
              <w:ind w:end="150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 xml:space="preserve">11.4 </w:t>
            </w:r>
          </w:p>
        </w:tc>
      </w:tr>
      <w:tr>
        <w:trPr>
          <w:trHeight w:val="187" w:hRule="atLeast"/>
        </w:trPr>
        <w:tc>
          <w:tcPr>
            <w:tcW w:w="2910" w:type="dxa"/>
            <w:gridSpan w:val="3"/>
            <w:tcBorders/>
          </w:tcPr>
          <w:p>
            <w:pPr>
              <w:pStyle w:val="Normal"/>
              <w:tabs>
                <w:tab w:val="left" w:pos="540" w:leader="none"/>
                <w:tab w:val="left" w:pos="2340" w:leader="none"/>
              </w:tabs>
              <w:ind w:start="1170" w:end="0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Non ENA Intercompany</w:t>
            </w:r>
          </w:p>
        </w:tc>
        <w:tc>
          <w:tcPr>
            <w:tcW w:w="411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479" w:type="dxa"/>
            <w:gridSpan w:val="2"/>
            <w:tcBorders>
              <w:bottom w:val="single" w:sz="2" w:space="0" w:color="000000"/>
            </w:tcBorders>
          </w:tcPr>
          <w:p>
            <w:pPr>
              <w:pStyle w:val="Normal"/>
              <w:ind w:end="150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 xml:space="preserve">0.0 </w:t>
            </w:r>
          </w:p>
        </w:tc>
      </w:tr>
      <w:tr>
        <w:trPr>
          <w:trHeight w:val="199" w:hRule="atLeast"/>
        </w:trPr>
        <w:tc>
          <w:tcPr>
            <w:tcW w:w="2910" w:type="dxa"/>
            <w:gridSpan w:val="3"/>
            <w:tcBorders/>
          </w:tcPr>
          <w:p>
            <w:pPr>
              <w:pStyle w:val="Normal"/>
              <w:tabs>
                <w:tab w:val="left" w:pos="540" w:leader="none"/>
                <w:tab w:val="left" w:pos="2340" w:leader="none"/>
              </w:tabs>
              <w:ind w:start="1170" w:end="0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Total</w:t>
            </w:r>
          </w:p>
        </w:tc>
        <w:tc>
          <w:tcPr>
            <w:tcW w:w="411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79" w:type="dxa"/>
            <w:gridSpan w:val="2"/>
            <w:tcBorders>
              <w:bottom w:val="double" w:sz="4" w:space="0" w:color="000000"/>
            </w:tcBorders>
          </w:tcPr>
          <w:p>
            <w:pPr>
              <w:pStyle w:val="Normal"/>
              <w:ind w:end="150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 xml:space="preserve">$38.1 </w:t>
            </w:r>
          </w:p>
        </w:tc>
      </w:tr>
      <w:tr>
        <w:trPr>
          <w:trHeight w:val="199" w:hRule="atLeast"/>
        </w:trPr>
        <w:tc>
          <w:tcPr>
            <w:tcW w:w="183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305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246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</w:tr>
    </w:tbl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numPr>
          <w:ilvl w:val="0"/>
          <w:numId w:val="3"/>
        </w:numPr>
        <w:tabs>
          <w:tab w:val="left" w:pos="117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firstLine="180" w:start="36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Summarized A/P Aging Report</w:t>
        <w:tab/>
        <w:tab/>
      </w:r>
    </w:p>
    <w:p>
      <w:pPr>
        <w:pStyle w:val="Department"/>
        <w:widowControl/>
        <w:tabs>
          <w:tab w:val="left" w:pos="45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tbl>
      <w:tblPr>
        <w:tblW w:w="480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838"/>
        <w:gridCol w:w="411"/>
        <w:gridCol w:w="751"/>
        <w:gridCol w:w="411"/>
        <w:gridCol w:w="143"/>
        <w:gridCol w:w="1162"/>
        <w:gridCol w:w="84"/>
      </w:tblGrid>
      <w:tr>
        <w:trPr>
          <w:trHeight w:val="187" w:hRule="atLeast"/>
        </w:trPr>
        <w:tc>
          <w:tcPr>
            <w:tcW w:w="183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2551" w:type="dxa"/>
            <w:gridSpan w:val="5"/>
            <w:tcBorders/>
          </w:tcPr>
          <w:p>
            <w:pPr>
              <w:pStyle w:val="Normal"/>
              <w:jc w:val="center"/>
              <w:rPr>
                <w:b/>
                <w:color w:val="000000"/>
                <w:sz w:val="16"/>
                <w:lang w:eastAsia="en-US"/>
              </w:rPr>
            </w:pPr>
            <w:r>
              <w:rPr>
                <w:rFonts w:eastAsia="Arial"/>
                <w:b/>
                <w:color w:val="000000"/>
                <w:sz w:val="16"/>
                <w:lang w:eastAsia="en-US"/>
              </w:rPr>
              <w:t xml:space="preserve">                               </w:t>
            </w:r>
            <w:r>
              <w:rPr>
                <w:b/>
                <w:color w:val="000000"/>
                <w:sz w:val="16"/>
                <w:lang w:eastAsia="en-US"/>
              </w:rPr>
              <w:t>A/P &gt; 30 Days</w:t>
            </w:r>
          </w:p>
        </w:tc>
      </w:tr>
      <w:tr>
        <w:trPr>
          <w:trHeight w:val="187" w:hRule="atLeast"/>
        </w:trPr>
        <w:tc>
          <w:tcPr>
            <w:tcW w:w="183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30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246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</w:tr>
      <w:tr>
        <w:trPr>
          <w:trHeight w:val="187" w:hRule="atLeast"/>
        </w:trPr>
        <w:tc>
          <w:tcPr>
            <w:tcW w:w="3000" w:type="dxa"/>
            <w:gridSpan w:val="3"/>
            <w:tcBorders/>
          </w:tcPr>
          <w:p>
            <w:pPr>
              <w:pStyle w:val="Normal"/>
              <w:ind w:start="1170" w:end="0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Natural Gas - Houston</w:t>
            </w:r>
          </w:p>
        </w:tc>
        <w:tc>
          <w:tcPr>
            <w:tcW w:w="411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305" w:type="dxa"/>
            <w:gridSpan w:val="2"/>
            <w:tcBorders/>
          </w:tcPr>
          <w:p>
            <w:pPr>
              <w:pStyle w:val="Normal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($139.5)</w:t>
            </w:r>
          </w:p>
        </w:tc>
        <w:tc>
          <w:tcPr>
            <w:tcW w:w="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</w:tr>
      <w:tr>
        <w:trPr>
          <w:trHeight w:val="187" w:hRule="atLeast"/>
        </w:trPr>
        <w:tc>
          <w:tcPr>
            <w:tcW w:w="3000" w:type="dxa"/>
            <w:gridSpan w:val="3"/>
            <w:tcBorders/>
          </w:tcPr>
          <w:p>
            <w:pPr>
              <w:pStyle w:val="Normal"/>
              <w:ind w:start="1170" w:end="0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Natural Gas - Calgary</w:t>
            </w:r>
          </w:p>
        </w:tc>
        <w:tc>
          <w:tcPr>
            <w:tcW w:w="411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305" w:type="dxa"/>
            <w:gridSpan w:val="2"/>
            <w:tcBorders/>
          </w:tcPr>
          <w:p>
            <w:pPr>
              <w:pStyle w:val="Normal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 xml:space="preserve">0.0 </w:t>
            </w:r>
          </w:p>
        </w:tc>
        <w:tc>
          <w:tcPr>
            <w:tcW w:w="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</w:tr>
      <w:tr>
        <w:trPr>
          <w:trHeight w:val="187" w:hRule="atLeast"/>
        </w:trPr>
        <w:tc>
          <w:tcPr>
            <w:tcW w:w="3000" w:type="dxa"/>
            <w:gridSpan w:val="3"/>
            <w:tcBorders/>
          </w:tcPr>
          <w:p>
            <w:pPr>
              <w:pStyle w:val="Normal"/>
              <w:ind w:start="1170" w:end="0"/>
              <w:rPr/>
            </w:pPr>
            <w:r>
              <w:rPr>
                <w:color w:val="000000"/>
                <w:sz w:val="16"/>
                <w:lang w:eastAsia="en-US"/>
              </w:rPr>
              <w:t xml:space="preserve">Power </w:t>
            </w:r>
            <w:r>
              <w:rPr>
                <w:color w:val="000000"/>
                <w:sz w:val="16"/>
                <w:vertAlign w:val="superscript"/>
                <w:lang w:eastAsia="en-US"/>
              </w:rPr>
              <w:t>(a)</w:t>
            </w:r>
          </w:p>
        </w:tc>
        <w:tc>
          <w:tcPr>
            <w:tcW w:w="411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6"/>
                <w:vertAlign w:val="superscript"/>
                <w:lang w:eastAsia="en-US"/>
              </w:rPr>
            </w:pPr>
            <w:r>
              <w:rPr>
                <w:color w:val="000000"/>
                <w:sz w:val="16"/>
                <w:vertAlign w:val="superscript"/>
                <w:lang w:eastAsia="en-US"/>
              </w:rPr>
            </w:r>
          </w:p>
        </w:tc>
        <w:tc>
          <w:tcPr>
            <w:tcW w:w="1305" w:type="dxa"/>
            <w:gridSpan w:val="2"/>
            <w:tcBorders/>
          </w:tcPr>
          <w:p>
            <w:pPr>
              <w:pStyle w:val="Normal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(135.8)</w:t>
            </w:r>
          </w:p>
        </w:tc>
        <w:tc>
          <w:tcPr>
            <w:tcW w:w="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</w:tr>
      <w:tr>
        <w:trPr>
          <w:trHeight w:val="187" w:hRule="atLeast"/>
        </w:trPr>
        <w:tc>
          <w:tcPr>
            <w:tcW w:w="3000" w:type="dxa"/>
            <w:gridSpan w:val="3"/>
            <w:tcBorders/>
          </w:tcPr>
          <w:p>
            <w:pPr>
              <w:pStyle w:val="Normal"/>
              <w:ind w:start="1170" w:end="0"/>
              <w:rPr/>
            </w:pPr>
            <w:r>
              <w:rPr>
                <w:color w:val="000000"/>
                <w:sz w:val="16"/>
                <w:lang w:eastAsia="en-US"/>
              </w:rPr>
              <w:t>Financial</w:t>
            </w:r>
            <w:r>
              <w:rPr>
                <w:color w:val="000000"/>
                <w:sz w:val="16"/>
                <w:vertAlign w:val="superscript"/>
                <w:lang w:eastAsia="en-US"/>
              </w:rPr>
              <w:t xml:space="preserve"> (b)</w:t>
            </w:r>
          </w:p>
        </w:tc>
        <w:tc>
          <w:tcPr>
            <w:tcW w:w="411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6"/>
                <w:vertAlign w:val="superscript"/>
                <w:lang w:eastAsia="en-US"/>
              </w:rPr>
            </w:pPr>
            <w:r>
              <w:rPr>
                <w:color w:val="000000"/>
                <w:sz w:val="16"/>
                <w:vertAlign w:val="superscript"/>
                <w:lang w:eastAsia="en-US"/>
              </w:rPr>
            </w:r>
          </w:p>
        </w:tc>
        <w:tc>
          <w:tcPr>
            <w:tcW w:w="1305" w:type="dxa"/>
            <w:gridSpan w:val="2"/>
            <w:tcBorders/>
          </w:tcPr>
          <w:p>
            <w:pPr>
              <w:pStyle w:val="Normal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 xml:space="preserve">0.0 </w:t>
            </w:r>
          </w:p>
        </w:tc>
        <w:tc>
          <w:tcPr>
            <w:tcW w:w="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</w:tr>
      <w:tr>
        <w:trPr>
          <w:trHeight w:val="187" w:hRule="atLeast"/>
        </w:trPr>
        <w:tc>
          <w:tcPr>
            <w:tcW w:w="3000" w:type="dxa"/>
            <w:gridSpan w:val="3"/>
            <w:tcBorders/>
          </w:tcPr>
          <w:p>
            <w:pPr>
              <w:pStyle w:val="Normal"/>
              <w:ind w:start="1170" w:end="0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Non ENA Intercompany</w:t>
            </w:r>
          </w:p>
        </w:tc>
        <w:tc>
          <w:tcPr>
            <w:tcW w:w="411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1305" w:type="dxa"/>
            <w:gridSpan w:val="2"/>
            <w:tcBorders>
              <w:bottom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 xml:space="preserve">0.0 </w:t>
            </w:r>
          </w:p>
        </w:tc>
        <w:tc>
          <w:tcPr>
            <w:tcW w:w="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</w:tr>
      <w:tr>
        <w:trPr>
          <w:trHeight w:val="199" w:hRule="atLeast"/>
        </w:trPr>
        <w:tc>
          <w:tcPr>
            <w:tcW w:w="3000" w:type="dxa"/>
            <w:gridSpan w:val="3"/>
            <w:tcBorders/>
          </w:tcPr>
          <w:p>
            <w:pPr>
              <w:pStyle w:val="Normal"/>
              <w:ind w:start="1170" w:end="0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Total</w:t>
            </w:r>
          </w:p>
        </w:tc>
        <w:tc>
          <w:tcPr>
            <w:tcW w:w="411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305" w:type="dxa"/>
            <w:gridSpan w:val="2"/>
            <w:tcBorders>
              <w:bottom w:val="double" w:sz="4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($275.3)</w:t>
            </w:r>
          </w:p>
        </w:tc>
        <w:tc>
          <w:tcPr>
            <w:tcW w:w="8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</w:tr>
      <w:tr>
        <w:trPr>
          <w:trHeight w:val="199" w:hRule="atLeast"/>
        </w:trPr>
        <w:tc>
          <w:tcPr>
            <w:tcW w:w="1838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305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246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</w:tbl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ab/>
        <w:tab/>
      </w:r>
    </w:p>
    <w:sectPr>
      <w:headerReference w:type="default" r:id="rId19"/>
      <w:headerReference w:type="first" r:id="rId20"/>
      <w:footerReference w:type="default" r:id="rId21"/>
      <w:footerReference w:type="first" r:id="rId22"/>
      <w:type w:val="nextPage"/>
      <w:pgSz w:w="12240" w:h="15840"/>
      <w:pgMar w:left="720" w:right="117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end"/>
      <w:rPr>
        <w:rStyle w:val="PageNumber"/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/mnt/main-storage/datasets/enron-docs/doc/GlobalStandards-61e20adb81a1bff5294aa4297826fac2cbc523e2507456fd17eb912d10bc6c37.doc</w:t>
    </w:r>
    <w:r>
      <w:rPr>
        <w:sz w:val="16"/>
        <w:lang w:eastAsia="en-US"/>
      </w:rPr>
      <w:fldChar w:fldCharType="end"/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/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2658110</wp:posOffset>
              </wp:positionH>
              <wp:positionV relativeFrom="paragraph">
                <wp:posOffset>-94615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7.45pt;mso-position-vertical-relative:text;margin-left:209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360" w:hanging="360"/>
      </w:pPr>
      <w:rPr>
        <w:i w:val="false"/>
        <w:b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i w:val="false"/>
        <w:b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810"/>
        </w:tabs>
        <w:ind w:start="810" w:hanging="360"/>
      </w:pPr>
      <w:rPr/>
    </w:lvl>
  </w:abstractNum>
  <w:abstractNum w:abstractNumId="9">
    <w:lvl w:ilvl="0">
      <w:start w:val="1"/>
      <w:numFmt w:val="upperLetter"/>
      <w:lvlText w:val="%1."/>
      <w:lvlJc w:val="start"/>
      <w:pPr>
        <w:tabs>
          <w:tab w:val="num" w:pos="555"/>
        </w:tabs>
        <w:ind w:start="555" w:hanging="46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540"/>
        <w:tab w:val="left" w:pos="810" w:leader="none"/>
      </w:tabs>
      <w:jc w:val="center"/>
      <w:outlineLvl w:val="0"/>
    </w:pPr>
    <w:rPr>
      <w:rFonts w:ascii="Times New Roman" w:hAnsi="Times New Roman" w:cs="Times New Roman"/>
      <w:b/>
      <w:color w:val="000000"/>
      <w:sz w:val="2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540"/>
        <w:tab w:val="left" w:pos="630" w:leader="none"/>
      </w:tabs>
      <w:jc w:val="center"/>
      <w:outlineLvl w:val="1"/>
    </w:pPr>
    <w:rPr>
      <w:b/>
      <w:color w:val="000000"/>
      <w:sz w:val="16"/>
      <w:lang w:eastAsia="en-US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776" w:end="0"/>
      <w:jc w:val="center"/>
      <w:outlineLvl w:val="3"/>
    </w:pPr>
    <w:rPr>
      <w:b/>
      <w:color w:val="000000"/>
      <w:sz w:val="16"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540"/>
        <w:tab w:val="left" w:pos="271" w:leader="none"/>
        <w:tab w:val="left" w:pos="451" w:leader="none"/>
        <w:tab w:val="left" w:pos="1261" w:leader="none"/>
      </w:tabs>
      <w:ind w:hanging="0" w:start="425" w:end="-1096"/>
      <w:jc w:val="center"/>
      <w:outlineLvl w:val="4"/>
    </w:pPr>
    <w:rPr>
      <w:b/>
      <w:color w:val="000000"/>
      <w:sz w:val="16"/>
      <w:lang w:eastAsia="en-U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b/>
      <w:i w:val="false"/>
    </w:rPr>
  </w:style>
  <w:style w:type="character" w:styleId="WW8Num15z0">
    <w:name w:val="WW8Num15z0"/>
    <w:qFormat/>
    <w:rPr>
      <w:b/>
      <w:i w:val="false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b/>
      <w:i w:val="false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6z0">
    <w:name w:val="WW8Num26z0"/>
    <w:qFormat/>
    <w:rPr>
      <w:rFonts w:ascii="Wingdings" w:hAnsi="Wingdings" w:cs="Wingdings"/>
      <w:sz w:val="20"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package" Target="embeddings/oleObject1.xlsx"/><Relationship Id="rId4" Type="http://schemas.openxmlformats.org/officeDocument/2006/relationships/image" Target="media/image2.wmf"/><Relationship Id="rId5" Type="http://schemas.openxmlformats.org/officeDocument/2006/relationships/package" Target="embeddings/oleObject2.xlsx"/><Relationship Id="rId6" Type="http://schemas.openxmlformats.org/officeDocument/2006/relationships/image" Target="media/image3.wmf"/><Relationship Id="rId7" Type="http://schemas.openxmlformats.org/officeDocument/2006/relationships/package" Target="embeddings/oleObject3.xlsx"/><Relationship Id="rId8" Type="http://schemas.openxmlformats.org/officeDocument/2006/relationships/image" Target="media/image4.wmf"/><Relationship Id="rId9" Type="http://schemas.openxmlformats.org/officeDocument/2006/relationships/package" Target="embeddings/oleObject4.xlsx"/><Relationship Id="rId10" Type="http://schemas.openxmlformats.org/officeDocument/2006/relationships/image" Target="media/image5.wmf"/><Relationship Id="rId11" Type="http://schemas.openxmlformats.org/officeDocument/2006/relationships/package" Target="embeddings/oleObject5.xlsx"/><Relationship Id="rId12" Type="http://schemas.openxmlformats.org/officeDocument/2006/relationships/image" Target="media/image6.wmf"/><Relationship Id="rId13" Type="http://schemas.openxmlformats.org/officeDocument/2006/relationships/package" Target="embeddings/oleObject6.xlsx"/><Relationship Id="rId14" Type="http://schemas.openxmlformats.org/officeDocument/2006/relationships/image" Target="media/image7.wmf"/><Relationship Id="rId15" Type="http://schemas.openxmlformats.org/officeDocument/2006/relationships/package" Target="embeddings/oleObject7.xlsx"/><Relationship Id="rId16" Type="http://schemas.openxmlformats.org/officeDocument/2006/relationships/image" Target="media/image8.wmf"/><Relationship Id="rId17" Type="http://schemas.openxmlformats.org/officeDocument/2006/relationships/package" Target="embeddings/oleObject8.xlsx"/><Relationship Id="rId18" Type="http://schemas.openxmlformats.org/officeDocument/2006/relationships/image" Target="media/image9.wmf"/><Relationship Id="rId19" Type="http://schemas.openxmlformats.org/officeDocument/2006/relationships/header" Target="header1.xml"/><Relationship Id="rId20" Type="http://schemas.openxmlformats.org/officeDocument/2006/relationships/header" Target="header2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722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2000-08-08T11:43:00Z</dcterms:created>
  <dc:creator>ECT</dc:creator>
  <dc:description/>
  <dc:language>en-CA</dc:language>
  <cp:lastModifiedBy>mmoscos</cp:lastModifiedBy>
  <cp:lastPrinted>2000-10-06T14:02:00Z</cp:lastPrinted>
  <dcterms:modified xsi:type="dcterms:W3CDTF">2000-10-13T15:35:00Z</dcterms:modified>
  <cp:revision>39</cp:revision>
  <dc:subject/>
  <dc:title>Eron Capital &amp; Trade Resources Memo</dc:title>
</cp:coreProperties>
</file>