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Business Unit:</w:t>
      </w:r>
    </w:p>
    <w:p>
      <w:pPr>
        <w:pStyle w:val="Normal"/>
        <w:rPr>
          <w:sz w:val="22"/>
        </w:rPr>
      </w:pPr>
      <w:r>
        <w:rPr>
          <w:sz w:val="22"/>
        </w:rPr>
      </w:r>
    </w:p>
    <w:p>
      <w:pPr>
        <w:pStyle w:val="Normal"/>
        <w:rPr>
          <w:sz w:val="22"/>
        </w:rPr>
      </w:pPr>
      <w:r>
        <w:rPr>
          <w:sz w:val="22"/>
        </w:rPr>
      </w:r>
    </w:p>
    <w:p>
      <w:pPr>
        <w:pStyle w:val="Normal"/>
        <w:jc w:val="center"/>
        <w:rPr/>
      </w:pPr>
      <w:r>
        <w:rPr/>
        <w:t># OF EMPLOYEES BY JOB FUNCTION</w:t>
      </w:r>
    </w:p>
    <w:p>
      <w:pPr>
        <w:pStyle w:val="Normal"/>
        <w:jc w:val="center"/>
        <w:rPr/>
      </w:pPr>
      <w:r>
        <w:rPr/>
      </w:r>
    </w:p>
    <w:p>
      <w:pPr>
        <w:pStyle w:val="Normal"/>
        <w:jc w:val="center"/>
        <w:rPr/>
      </w:pPr>
      <w:r>
        <w:rPr/>
      </w:r>
    </w:p>
    <w:tbl>
      <w:tblPr>
        <w:tblW w:w="5760" w:type="dxa"/>
        <w:jc w:val="start"/>
        <w:tblInd w:w="1368" w:type="dxa"/>
        <w:tblLayout w:type="fixed"/>
        <w:tblCellMar>
          <w:top w:w="0" w:type="dxa"/>
          <w:start w:w="108" w:type="dxa"/>
          <w:bottom w:w="0" w:type="dxa"/>
          <w:end w:w="108" w:type="dxa"/>
        </w:tblCellMar>
      </w:tblPr>
      <w:tblGrid>
        <w:gridCol w:w="4428"/>
        <w:gridCol w:w="1332"/>
      </w:tblGrid>
      <w:tr>
        <w:trPr/>
        <w:tc>
          <w:tcPr>
            <w:tcW w:w="442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JOB FUNCTION</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NUMBER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Financial Reporting</w:t>
            </w:r>
          </w:p>
        </w:tc>
        <w:tc>
          <w:tcPr>
            <w:tcW w:w="13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Planning &amp; Analysis</w:t>
            </w:r>
          </w:p>
        </w:tc>
        <w:tc>
          <w:tcPr>
            <w:tcW w:w="13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G/L Accounting</w:t>
            </w:r>
          </w:p>
        </w:tc>
        <w:tc>
          <w:tcPr>
            <w:tcW w:w="13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Structured Transaction Accounting</w:t>
            </w:r>
          </w:p>
        </w:tc>
        <w:tc>
          <w:tcPr>
            <w:tcW w:w="13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Property Accounting</w:t>
            </w:r>
          </w:p>
        </w:tc>
        <w:tc>
          <w:tcPr>
            <w:tcW w:w="13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Revenue Accounting</w:t>
            </w:r>
          </w:p>
        </w:tc>
        <w:tc>
          <w:tcPr>
            <w:tcW w:w="13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Risk Management Accounting</w:t>
            </w:r>
          </w:p>
        </w:tc>
        <w:tc>
          <w:tcPr>
            <w:tcW w:w="13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Internal Audit (Enron Assurance Services)</w:t>
            </w:r>
          </w:p>
        </w:tc>
        <w:tc>
          <w:tcPr>
            <w:tcW w:w="13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IT Security Consulting and Audit (IT Compliance)</w:t>
            </w:r>
          </w:p>
        </w:tc>
        <w:tc>
          <w:tcPr>
            <w:tcW w:w="13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IT Process Consulting and Audit (IT Compliance)</w:t>
            </w:r>
          </w:p>
        </w:tc>
        <w:tc>
          <w:tcPr>
            <w:tcW w:w="13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sz w:val="22"/>
        </w:rPr>
      </w:pPr>
      <w:r>
        <w:rPr>
          <w:sz w:val="22"/>
        </w:rPr>
      </w:r>
    </w:p>
    <w:p>
      <w:pPr>
        <w:pStyle w:val="Normal"/>
        <w:autoSpaceDE w:val="false"/>
        <w:spacing w:lineRule="atLeast" w:line="240"/>
        <w:rPr>
          <w:rFonts w:ascii="Arial" w:hAnsi="Arial" w:cs="Arial"/>
          <w:b/>
          <w:color w:val="000000"/>
          <w:sz w:val="22"/>
        </w:rPr>
      </w:pPr>
      <w:r>
        <w:rPr>
          <w:rFonts w:cs="Arial" w:ascii="Arial" w:hAnsi="Arial"/>
          <w:b/>
          <w:color w:val="000000"/>
          <w:sz w:val="22"/>
        </w:rPr>
        <w:t>Financial Reporting</w:t>
      </w:r>
    </w:p>
    <w:p>
      <w:pPr>
        <w:pStyle w:val="Normal"/>
        <w:autoSpaceDE w:val="false"/>
        <w:spacing w:lineRule="atLeast" w:line="240"/>
        <w:rPr>
          <w:rFonts w:ascii="Arial" w:hAnsi="Arial" w:cs="Arial"/>
          <w:b/>
          <w:color w:val="000000"/>
          <w:sz w:val="22"/>
        </w:rPr>
      </w:pPr>
      <w:r>
        <w:rPr>
          <w:rFonts w:cs="Arial" w:ascii="Arial" w:hAnsi="Arial"/>
          <w:b/>
          <w:color w:val="000000"/>
          <w:sz w:val="22"/>
        </w:rPr>
      </w:r>
    </w:p>
    <w:p>
      <w:pPr>
        <w:pStyle w:val="Normal"/>
        <w:autoSpaceDE w:val="false"/>
        <w:spacing w:lineRule="atLeast" w:line="240"/>
        <w:rPr>
          <w:rFonts w:ascii="Arial" w:hAnsi="Arial" w:cs="Arial"/>
          <w:color w:val="000000"/>
          <w:sz w:val="22"/>
        </w:rPr>
      </w:pPr>
      <w:r>
        <w:rPr>
          <w:rFonts w:cs="Arial" w:ascii="Arial" w:hAnsi="Arial"/>
          <w:color w:val="000000"/>
          <w:sz w:val="22"/>
        </w:rPr>
        <w:t>Responsible for external reporting, including the preparation of financial statements filed with the SEC and other government agencies.  Knowledgeable about SEC requirements including Regulations S-K and S-X.  Develop debt and equity filings, working with outside accountants, attorneys and underwriters.  Research impact of new technical accounting and SEC pronouncements.</w:t>
      </w:r>
    </w:p>
    <w:p>
      <w:pPr>
        <w:pStyle w:val="Normal"/>
        <w:autoSpaceDE w:val="false"/>
        <w:spacing w:lineRule="atLeast" w:line="240"/>
        <w:rPr>
          <w:rFonts w:ascii="Arial" w:hAnsi="Arial" w:cs="Arial"/>
          <w:color w:val="000000"/>
          <w:sz w:val="22"/>
        </w:rPr>
      </w:pPr>
      <w:r>
        <w:rPr>
          <w:rFonts w:cs="Arial" w:ascii="Arial" w:hAnsi="Arial"/>
          <w:color w:val="000000"/>
          <w:sz w:val="22"/>
        </w:rPr>
      </w:r>
    </w:p>
    <w:p>
      <w:pPr>
        <w:pStyle w:val="Normal"/>
        <w:autoSpaceDE w:val="false"/>
        <w:spacing w:lineRule="atLeast" w:line="240"/>
        <w:rPr>
          <w:rFonts w:ascii="Arial" w:hAnsi="Arial" w:cs="Arial"/>
          <w:color w:val="000000"/>
          <w:sz w:val="22"/>
        </w:rPr>
      </w:pPr>
      <w:r>
        <w:rPr>
          <w:rFonts w:cs="Arial" w:ascii="Arial" w:hAnsi="Arial"/>
          <w:color w:val="000000"/>
          <w:sz w:val="22"/>
        </w:rPr>
        <w:t>Provide analysis for use in communications with outside analysts.</w:t>
      </w:r>
    </w:p>
    <w:p>
      <w:pPr>
        <w:pStyle w:val="Normal"/>
        <w:autoSpaceDE w:val="false"/>
        <w:spacing w:lineRule="atLeast" w:line="240"/>
        <w:rPr>
          <w:rFonts w:ascii="Arial" w:hAnsi="Arial" w:cs="Arial"/>
          <w:color w:val="000000"/>
          <w:sz w:val="22"/>
        </w:rPr>
      </w:pPr>
      <w:r>
        <w:rPr>
          <w:rFonts w:cs="Arial" w:ascii="Arial" w:hAnsi="Arial"/>
          <w:color w:val="000000"/>
          <w:sz w:val="22"/>
        </w:rPr>
      </w:r>
    </w:p>
    <w:p>
      <w:pPr>
        <w:pStyle w:val="Normal"/>
        <w:autoSpaceDE w:val="false"/>
        <w:spacing w:lineRule="atLeast" w:line="240"/>
        <w:rPr>
          <w:rFonts w:ascii="Arial" w:hAnsi="Arial" w:cs="Arial"/>
          <w:color w:val="000000"/>
          <w:sz w:val="22"/>
        </w:rPr>
      </w:pPr>
      <w:r>
        <w:rPr>
          <w:rFonts w:cs="Arial" w:ascii="Arial" w:hAnsi="Arial"/>
          <w:color w:val="000000"/>
          <w:sz w:val="22"/>
        </w:rPr>
        <w:t>Coordinate and review monthly consolidation of balance sheet, income statement and cash flow statement.</w:t>
      </w:r>
    </w:p>
    <w:p>
      <w:pPr>
        <w:pStyle w:val="Normal"/>
        <w:autoSpaceDE w:val="false"/>
        <w:spacing w:lineRule="atLeast" w:line="240"/>
        <w:rPr>
          <w:rFonts w:ascii="Arial" w:hAnsi="Arial" w:cs="Arial"/>
          <w:color w:val="000000"/>
          <w:sz w:val="22"/>
        </w:rPr>
      </w:pPr>
      <w:r>
        <w:rPr>
          <w:rFonts w:cs="Arial" w:ascii="Arial" w:hAnsi="Arial"/>
          <w:color w:val="000000"/>
          <w:sz w:val="22"/>
        </w:rPr>
      </w:r>
    </w:p>
    <w:p>
      <w:pPr>
        <w:pStyle w:val="Normal"/>
        <w:autoSpaceDE w:val="false"/>
        <w:spacing w:lineRule="atLeast" w:line="240"/>
        <w:rPr>
          <w:rFonts w:ascii="Arial" w:hAnsi="Arial" w:cs="Arial"/>
          <w:b/>
          <w:color w:val="000000"/>
          <w:sz w:val="22"/>
        </w:rPr>
      </w:pPr>
      <w:r>
        <w:rPr>
          <w:rFonts w:cs="Arial" w:ascii="Arial" w:hAnsi="Arial"/>
          <w:b/>
          <w:color w:val="000000"/>
          <w:sz w:val="22"/>
        </w:rPr>
        <w:t>Planning &amp; Analysis</w:t>
      </w:r>
    </w:p>
    <w:p>
      <w:pPr>
        <w:pStyle w:val="Normal"/>
        <w:autoSpaceDE w:val="false"/>
        <w:spacing w:lineRule="atLeast" w:line="240"/>
        <w:jc w:val="both"/>
        <w:rPr>
          <w:rFonts w:ascii="Arial" w:hAnsi="Arial" w:cs="Arial"/>
          <w:b/>
          <w:color w:val="000000"/>
          <w:sz w:val="22"/>
        </w:rPr>
      </w:pPr>
      <w:r>
        <w:rPr>
          <w:rFonts w:cs="Arial" w:ascii="Arial" w:hAnsi="Arial"/>
          <w:b/>
          <w:color w:val="000000"/>
          <w:sz w:val="22"/>
        </w:rPr>
      </w:r>
    </w:p>
    <w:p>
      <w:pPr>
        <w:pStyle w:val="Normal"/>
        <w:autoSpaceDE w:val="false"/>
        <w:spacing w:lineRule="atLeast" w:line="240"/>
        <w:jc w:val="both"/>
        <w:rPr>
          <w:rFonts w:ascii="Arial" w:hAnsi="Arial" w:cs="Arial"/>
          <w:color w:val="000000"/>
          <w:sz w:val="22"/>
        </w:rPr>
      </w:pPr>
      <w:r>
        <w:rPr>
          <w:rFonts w:cs="Arial" w:ascii="Arial" w:hAnsi="Arial"/>
          <w:color w:val="000000"/>
          <w:sz w:val="22"/>
        </w:rPr>
        <w:t>Provides financial analysis and planning to support key business decisions of senior management, including impacts on net income, earnings per share, balance sheet and key credit ratios and other performance indicators.</w:t>
      </w:r>
    </w:p>
    <w:p>
      <w:pPr>
        <w:pStyle w:val="Normal"/>
        <w:autoSpaceDE w:val="false"/>
        <w:spacing w:lineRule="atLeast" w:line="240"/>
        <w:jc w:val="both"/>
        <w:rPr>
          <w:rFonts w:ascii="Arial" w:hAnsi="Arial" w:cs="Arial"/>
          <w:color w:val="000000"/>
          <w:sz w:val="22"/>
        </w:rPr>
      </w:pPr>
      <w:r>
        <w:rPr>
          <w:rFonts w:cs="Arial" w:ascii="Arial" w:hAnsi="Arial"/>
          <w:color w:val="000000"/>
          <w:sz w:val="22"/>
        </w:rPr>
      </w:r>
    </w:p>
    <w:p>
      <w:pPr>
        <w:pStyle w:val="Normal"/>
        <w:autoSpaceDE w:val="false"/>
        <w:spacing w:lineRule="atLeast" w:line="240"/>
        <w:jc w:val="both"/>
        <w:rPr>
          <w:rFonts w:ascii="Arial" w:hAnsi="Arial" w:cs="Arial"/>
          <w:color w:val="000000"/>
          <w:sz w:val="22"/>
        </w:rPr>
      </w:pPr>
      <w:r>
        <w:rPr>
          <w:rFonts w:cs="Arial" w:ascii="Arial" w:hAnsi="Arial"/>
          <w:color w:val="000000"/>
          <w:sz w:val="22"/>
        </w:rPr>
        <w:t>Provides analytical support in the review of the performance of existing and potential businesses including mergers, acquisitions and divestitures.  Develop measures for business performance.</w:t>
      </w:r>
    </w:p>
    <w:p>
      <w:pPr>
        <w:pStyle w:val="Normal"/>
        <w:autoSpaceDE w:val="false"/>
        <w:spacing w:lineRule="atLeast" w:line="240"/>
        <w:jc w:val="both"/>
        <w:rPr>
          <w:rFonts w:ascii="Arial" w:hAnsi="Arial" w:cs="Arial"/>
          <w:color w:val="000000"/>
          <w:sz w:val="22"/>
        </w:rPr>
      </w:pPr>
      <w:r>
        <w:rPr>
          <w:rFonts w:cs="Arial" w:ascii="Arial" w:hAnsi="Arial"/>
          <w:color w:val="000000"/>
          <w:sz w:val="22"/>
        </w:rPr>
      </w:r>
    </w:p>
    <w:p>
      <w:pPr>
        <w:pStyle w:val="Normal"/>
        <w:autoSpaceDE w:val="false"/>
        <w:spacing w:lineRule="atLeast" w:line="240"/>
        <w:rPr>
          <w:rFonts w:ascii="Arial" w:hAnsi="Arial" w:cs="Arial"/>
          <w:b/>
          <w:color w:val="000000"/>
          <w:sz w:val="22"/>
        </w:rPr>
      </w:pPr>
      <w:r>
        <w:rPr>
          <w:rFonts w:cs="Arial" w:ascii="Arial" w:hAnsi="Arial"/>
          <w:b/>
          <w:color w:val="000000"/>
          <w:sz w:val="22"/>
        </w:rPr>
        <w:t>G/L Accounting</w:t>
      </w:r>
    </w:p>
    <w:p>
      <w:pPr>
        <w:pStyle w:val="Normal"/>
        <w:autoSpaceDE w:val="false"/>
        <w:spacing w:lineRule="atLeast" w:line="240"/>
        <w:rPr>
          <w:rFonts w:ascii="Arial" w:hAnsi="Arial" w:cs="Arial"/>
          <w:b/>
          <w:color w:val="000000"/>
          <w:sz w:val="22"/>
        </w:rPr>
      </w:pPr>
      <w:r>
        <w:rPr>
          <w:rFonts w:cs="Arial" w:ascii="Arial" w:hAnsi="Arial"/>
          <w:b/>
          <w:color w:val="000000"/>
          <w:sz w:val="22"/>
        </w:rPr>
      </w:r>
    </w:p>
    <w:p>
      <w:pPr>
        <w:pStyle w:val="Normal"/>
        <w:autoSpaceDE w:val="false"/>
        <w:spacing w:lineRule="atLeast" w:line="240"/>
        <w:rPr>
          <w:rFonts w:ascii="Arial" w:hAnsi="Arial" w:cs="Arial"/>
          <w:color w:val="000000"/>
          <w:sz w:val="22"/>
        </w:rPr>
      </w:pPr>
      <w:r>
        <w:rPr>
          <w:rFonts w:cs="Arial" w:ascii="Arial" w:hAnsi="Arial"/>
          <w:color w:val="000000"/>
          <w:sz w:val="22"/>
        </w:rPr>
        <w:t>Analyzes financial data requiring in-depth analysis and technical accounting knowledge.  Reconciles complex general ledger accounts and prepares complicated and intricate postings to the ledger to ensure accurate and timely financial information.  Prepares internal management reports and financial statements, including income statement, balance sheet and cash flow analysis.</w:t>
      </w:r>
    </w:p>
    <w:p>
      <w:pPr>
        <w:pStyle w:val="Normal"/>
        <w:rPr>
          <w:rFonts w:ascii="Arial" w:hAnsi="Arial" w:cs="Arial"/>
          <w:color w:val="000000"/>
          <w:sz w:val="22"/>
        </w:rPr>
      </w:pPr>
      <w:r>
        <w:rPr>
          <w:rFonts w:cs="Arial" w:ascii="Arial" w:hAnsi="Arial"/>
          <w:color w:val="000000"/>
          <w:sz w:val="22"/>
        </w:rPr>
      </w:r>
    </w:p>
    <w:p>
      <w:pPr>
        <w:pStyle w:val="Heading2"/>
        <w:autoSpaceDE w:val="true"/>
        <w:ind w:hanging="0" w:start="0"/>
        <w:rPr/>
      </w:pPr>
      <w:r>
        <w:rPr/>
        <w:t>Structured Transaction Accounting</w:t>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t xml:space="preserve">Interact in a commercial/team environment providing accounting consultation and technical research for complex structured transactions in various areas including M&amp;A, finance, and commodity trading.  Assist in the development of company accounting policy and framework in areas such as mark-to-market/fair value accounting, lease accounting, securitizations, special-purpose entities, etc.  Monitor proposed accounting pronouncements through close interaction with accounting standard-setters (i.e., FASB, EITF) to assess and analyze impact on existing and future structured transactions. </w:t>
      </w:r>
    </w:p>
    <w:p>
      <w:pPr>
        <w:pStyle w:val="Normal"/>
        <w:autoSpaceDE w:val="false"/>
        <w:rPr>
          <w:rFonts w:ascii="Arial" w:hAnsi="Arial" w:cs="Arial"/>
          <w:sz w:val="22"/>
        </w:rPr>
      </w:pPr>
      <w:r>
        <w:rPr>
          <w:rFonts w:cs="Arial" w:ascii="Arial" w:hAnsi="Arial"/>
          <w:sz w:val="22"/>
        </w:rPr>
      </w:r>
    </w:p>
    <w:p>
      <w:pPr>
        <w:pStyle w:val="Heading2"/>
        <w:ind w:hanging="0" w:start="0"/>
        <w:rPr/>
      </w:pPr>
      <w:r>
        <w:rPr/>
        <w:t>Property Accounting</w:t>
      </w:r>
    </w:p>
    <w:p>
      <w:pPr>
        <w:pStyle w:val="Normal"/>
        <w:autoSpaceDE w:val="false"/>
        <w:rPr>
          <w:rFonts w:ascii="Arial" w:hAnsi="Arial" w:cs="Arial"/>
          <w:sz w:val="22"/>
        </w:rPr>
      </w:pPr>
      <w:r>
        <w:rPr>
          <w:rFonts w:cs="Arial" w:ascii="Arial" w:hAnsi="Arial"/>
          <w:sz w:val="22"/>
        </w:rPr>
        <w:t>Assures proper accounting of certain of Enron's fixed asset investments, including property, plant and equipment and related depreciation and amortizations. Functions include journal entry preparation, system maintenance and improvements, controls and reconciliation's, and specialized research. Specialized expert in fixed asset accounting, and interfaces closely with engineering and construction staff. Knowledgeable of detailed property unit and project systems. Versed in regulatory (FERC, SEC, Tax) requirements associated with property, plant and equipment.</w:t>
      </w:r>
    </w:p>
    <w:p>
      <w:pPr>
        <w:pStyle w:val="Normal"/>
        <w:autoSpaceDE w:val="false"/>
        <w:rPr>
          <w:rFonts w:ascii="Arial" w:hAnsi="Arial" w:cs="Arial"/>
          <w:sz w:val="22"/>
        </w:rPr>
      </w:pPr>
      <w:r>
        <w:rPr>
          <w:rFonts w:cs="Arial" w:ascii="Arial" w:hAnsi="Arial"/>
          <w:sz w:val="22"/>
        </w:rPr>
      </w:r>
    </w:p>
    <w:p>
      <w:pPr>
        <w:pStyle w:val="Heading2"/>
        <w:ind w:hanging="0" w:start="0"/>
        <w:rPr/>
      </w:pPr>
      <w:r>
        <w:rPr/>
        <w:t>Revenue Accounting</w:t>
      </w:r>
    </w:p>
    <w:p>
      <w:pPr>
        <w:pStyle w:val="Normal"/>
        <w:autoSpaceDE w:val="false"/>
        <w:rPr>
          <w:rFonts w:ascii="Arial" w:hAnsi="Arial" w:cs="Arial"/>
          <w:sz w:val="22"/>
        </w:rPr>
      </w:pPr>
      <w:r>
        <w:rPr>
          <w:rFonts w:cs="Arial" w:ascii="Arial" w:hAnsi="Arial"/>
          <w:sz w:val="22"/>
        </w:rPr>
        <w:t>Assure proper accounting for accounts of certain Enron customers, invoicing and related receivables. Functions include journal entry preparation, invoice and receivable system maintenance and improvements, controls and reconciliation's, and specialized research. Specialized expert in business unit revenue streams, and interfaces closely with commercial staff. Versed in regulatory (ie., FERC)</w:t>
      </w:r>
    </w:p>
    <w:p>
      <w:pPr>
        <w:pStyle w:val="Normal"/>
        <w:autoSpaceDE w:val="false"/>
        <w:rPr>
          <w:rFonts w:ascii="Arial" w:hAnsi="Arial" w:cs="Arial"/>
          <w:sz w:val="22"/>
        </w:rPr>
      </w:pPr>
      <w:r>
        <w:rPr>
          <w:rFonts w:cs="Arial" w:ascii="Arial" w:hAnsi="Arial"/>
          <w:sz w:val="22"/>
        </w:rPr>
        <w:t>requirements associated with customer billings.</w:t>
      </w:r>
    </w:p>
    <w:p>
      <w:pPr>
        <w:pStyle w:val="Normal"/>
        <w:autoSpaceDE w:val="false"/>
        <w:rPr>
          <w:rFonts w:ascii="Arial" w:hAnsi="Arial" w:cs="Arial"/>
          <w:sz w:val="22"/>
        </w:rPr>
      </w:pPr>
      <w:r>
        <w:rPr>
          <w:rFonts w:cs="Arial" w:ascii="Arial" w:hAnsi="Arial"/>
          <w:sz w:val="22"/>
        </w:rPr>
      </w:r>
    </w:p>
    <w:p>
      <w:pPr>
        <w:pStyle w:val="Heading3"/>
        <w:ind w:hanging="0" w:start="0"/>
        <w:rPr/>
      </w:pPr>
      <w:r>
        <w:rPr/>
        <w:t>Risk Management Accounting</w:t>
      </w:r>
    </w:p>
    <w:p>
      <w:pPr>
        <w:pStyle w:val="Normal"/>
        <w:autoSpaceDE w:val="false"/>
        <w:spacing w:lineRule="atLeast" w:line="240"/>
        <w:rPr>
          <w:rFonts w:ascii="Arial" w:hAnsi="Arial" w:cs="Arial"/>
          <w:color w:val="000000"/>
          <w:sz w:val="22"/>
        </w:rPr>
      </w:pPr>
      <w:r>
        <w:rPr>
          <w:rFonts w:cs="Arial" w:ascii="Arial" w:hAnsi="Arial"/>
          <w:color w:val="000000"/>
          <w:sz w:val="22"/>
        </w:rPr>
        <w:t>To actualize and reconcile, by trading portfolio, mark to market estimates of profit\loss against actual settlements.  To record all MTM activity to the general ledger, including forward values and liquidations, ensuring that the roll forward of the forward value agrees with reported p\l.</w:t>
      </w:r>
    </w:p>
    <w:p>
      <w:pPr>
        <w:pStyle w:val="Normal"/>
        <w:autoSpaceDE w:val="false"/>
        <w:rPr>
          <w:rFonts w:ascii="Arial" w:hAnsi="Arial" w:cs="Arial"/>
          <w:color w:val="000000"/>
          <w:sz w:val="22"/>
        </w:rPr>
      </w:pPr>
      <w:r>
        <w:rPr>
          <w:rFonts w:cs="Arial" w:ascii="Arial" w:hAnsi="Arial"/>
          <w:color w:val="000000"/>
          <w:sz w:val="22"/>
        </w:rPr>
      </w:r>
    </w:p>
    <w:p>
      <w:pPr>
        <w:pStyle w:val="Normal"/>
        <w:autoSpaceDE w:val="false"/>
        <w:rPr>
          <w:rFonts w:ascii="Arial" w:hAnsi="Arial" w:cs="Arial"/>
          <w:b/>
          <w:sz w:val="22"/>
        </w:rPr>
      </w:pPr>
      <w:r>
        <w:rPr>
          <w:rFonts w:cs="Arial" w:ascii="Arial" w:hAnsi="Arial"/>
          <w:b/>
          <w:sz w:val="22"/>
        </w:rPr>
        <w:t>Internal Audit (Enron Assurance Services)</w:t>
      </w:r>
    </w:p>
    <w:p>
      <w:pPr>
        <w:pStyle w:val="BodyText"/>
        <w:rPr/>
      </w:pPr>
      <w:r>
        <w:rPr/>
        <w:t>Evaluate and provide control recommendations for financial and environmental risks at Enron business units (excluding IT risk).  Manage audits and follow up on high level internal audit findings generated by Arthur Andersen.</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b/>
          <w:sz w:val="22"/>
        </w:rPr>
      </w:pPr>
      <w:r>
        <w:rPr>
          <w:rFonts w:cs="Arial" w:ascii="Arial" w:hAnsi="Arial"/>
          <w:b/>
          <w:sz w:val="22"/>
        </w:rPr>
        <w:t>IT Security Consulting and Audit (IT Compliance)</w:t>
      </w:r>
    </w:p>
    <w:p>
      <w:pPr>
        <w:pStyle w:val="Normal"/>
        <w:autoSpaceDE w:val="false"/>
        <w:rPr>
          <w:rFonts w:ascii="Arial" w:hAnsi="Arial" w:cs="Arial"/>
          <w:sz w:val="22"/>
        </w:rPr>
      </w:pPr>
      <w:r>
        <w:rPr>
          <w:rFonts w:cs="Arial" w:ascii="Arial" w:hAnsi="Arial"/>
          <w:sz w:val="22"/>
        </w:rPr>
        <w:t xml:space="preserve">Conduct IT security threat analyses and penetration studies of Enron business units.  Develop and implement IT security software, solutions, and policy.  Track violators, conduct audits, and manage Arthur Andersen high level IT risk audits that are security specific.  </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b/>
          <w:sz w:val="22"/>
        </w:rPr>
      </w:pPr>
      <w:r>
        <w:rPr>
          <w:rFonts w:cs="Arial" w:ascii="Arial" w:hAnsi="Arial"/>
          <w:b/>
          <w:sz w:val="22"/>
        </w:rPr>
        <w:t>IT Process Consulting and Audit (IT Compliance)</w:t>
      </w:r>
    </w:p>
    <w:p>
      <w:pPr>
        <w:pStyle w:val="BodyText"/>
        <w:rPr/>
      </w:pPr>
      <w:r>
        <w:rPr/>
        <w:t>Evaluate and reengineer IT processes.  Design and implement solutions for control deficiencies including business continuity planning.  Develop IT control standards and ensure compliance across the enterprise.  Evaluate technologies and provide data analysis services.  Conduct IT audits as well as manage Arthur Andersen high level IT audits.</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DATE \@"M\/d\/yyyy" </w:instrText>
    </w:r>
    <w:r>
      <w:rPr/>
      <w:fldChar w:fldCharType="separate"/>
    </w:r>
    <w:r>
      <w:rPr/>
      <w:t>9/28/2025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Heading1"/>
      <w:ind w:hanging="0" w:start="0"/>
      <w:rPr>
        <w:sz w:val="22"/>
      </w:rPr>
    </w:pPr>
    <w:r>
      <w:rPr/>
      <w:t>Global Accounting Job Functions</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autoSpaceDE w:val="false"/>
      <w:outlineLvl w:val="1"/>
    </w:pPr>
    <w:rPr>
      <w:rFonts w:ascii="Arial" w:hAnsi="Arial" w:cs="Arial"/>
      <w:b/>
      <w:bCs/>
      <w:sz w:val="22"/>
      <w:szCs w:val="20"/>
    </w:rPr>
  </w:style>
  <w:style w:type="paragraph" w:styleId="Heading3">
    <w:name w:val="heading 3"/>
    <w:basedOn w:val="Normal"/>
    <w:next w:val="Normal"/>
    <w:qFormat/>
    <w:pPr>
      <w:keepNext w:val="true"/>
      <w:numPr>
        <w:ilvl w:val="2"/>
        <w:numId w:val="1"/>
      </w:numPr>
      <w:autoSpaceDE w:val="false"/>
      <w:outlineLvl w:val="2"/>
    </w:pPr>
    <w:rPr>
      <w:rFonts w:ascii="Arial" w:hAnsi="Arial" w:cs="Arial"/>
      <w:b/>
      <w:bCs/>
      <w:color w:val="000000"/>
      <w:sz w:val="22"/>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2001-04-10T18:06:00Z</dcterms:created>
  <dc:creator>tmiglio</dc:creator>
  <dc:description/>
  <dc:language>en-CA</dc:language>
  <cp:lastModifiedBy>swestbr</cp:lastModifiedBy>
  <cp:lastPrinted>2001-04-10T09:54:00Z</cp:lastPrinted>
  <dcterms:modified xsi:type="dcterms:W3CDTF">2001-04-10T18:11:00Z</dcterms:modified>
  <cp:revision>3</cp:revision>
  <dc:subject/>
  <dc:title>Financial Reporting</dc:title>
</cp:coreProperties>
</file>