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
        <w:jc w:val="center"/>
        <w:rPr/>
      </w:pPr>
      <w:r>
        <w:rPr>
          <w:rStyle w:val="LtrhdHeading"/>
          <w:sz w:val="32"/>
        </w:rPr>
        <w:t>Akin, Gump, Strauss, Hauer &amp; Feld, l.l.p.</w:t>
      </w:r>
    </w:p>
    <w:p>
      <w:pPr>
        <w:pStyle w:val="Normal"/>
        <w:spacing w:before="0" w:after="120"/>
        <w:jc w:val="center"/>
        <w:rPr/>
      </w:pPr>
      <w:r>
        <w:rPr>
          <w:rStyle w:val="LtrhdHeading"/>
        </w:rPr>
        <w:t>ATTORNEYS AT LAW</w:t>
      </w: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91440</wp:posOffset>
                </wp:positionV>
                <wp:extent cx="1737360" cy="2038350"/>
                <wp:effectExtent l="0" t="0" r="0" b="0"/>
                <wp:wrapNone/>
                <wp:docPr id="1" name="Frame1"/>
                <a:graphic xmlns:a="http://schemas.openxmlformats.org/drawingml/2006/main">
                  <a:graphicData uri="http://schemas.microsoft.com/office/word/2010/wordprocessingShape">
                    <wps:wsp>
                      <wps:cNvSpPr txBox="1"/>
                      <wps:spPr>
                        <a:xfrm>
                          <a:off x="0" y="0"/>
                          <a:ext cx="1737360" cy="2038350"/>
                        </a:xfrm>
                        <a:prstGeom prst="rect"/>
                        <a:solidFill>
                          <a:srgbClr val="FFFFFF">
                            <a:alpha val="0"/>
                          </a:srgbClr>
                        </a:solidFill>
                      </wps:spPr>
                      <wps:txbx>
                        <w:txbxContent>
                          <w:p>
                            <w:pPr>
                              <w:pStyle w:val="Normal"/>
                              <w:spacing w:lineRule="auto" w:line="312"/>
                              <w:rPr>
                                <w:rFonts w:ascii="EngraversGothic BT" w:hAnsi="EngraversGothic BT" w:cs="EngraversGothic BT"/>
                                <w:sz w:val="14"/>
                              </w:rPr>
                            </w:pPr>
                            <w:r>
                              <w:rPr>
                                <w:rFonts w:cs="EngraversGothic BT" w:ascii="EngraversGothic BT" w:hAnsi="EngraversGothic BT"/>
                                <w:sz w:val="14"/>
                              </w:rPr>
                              <w:t>AUSTIN</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BRUSSELS</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DALLAS</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DENVER</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HOUSTON</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LONDON</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LOS ANGELES</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MOSCOW</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NEW YORK</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NORTHERN VIRGINIA</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PHILADELPHIA</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SAN ANTONIO</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WASHINGTON, D.C.</w:t>
                            </w:r>
                          </w:p>
                          <w:p>
                            <w:pPr>
                              <w:pStyle w:val="Header"/>
                              <w:pBdr>
                                <w:bottom w:val="single" w:sz="4" w:space="1" w:color="000000"/>
                              </w:pBdr>
                              <w:ind w:end="1048"/>
                              <w:rPr>
                                <w:rFonts w:ascii="EngraversGothic BT" w:hAnsi="EngraversGothic BT" w:cs="EngraversGothic BT"/>
                                <w:sz w:val="14"/>
                              </w:rPr>
                            </w:pPr>
                            <w:r>
                              <w:rPr>
                                <w:rFonts w:cs="EngraversGothic BT" w:ascii="EngraversGothic BT" w:hAnsi="EngraversGothic BT"/>
                                <w:sz w:val="14"/>
                              </w:rPr>
                            </w:r>
                          </w:p>
                          <w:p>
                            <w:pPr>
                              <w:pStyle w:val="Header"/>
                              <w:spacing w:before="60" w:after="0"/>
                              <w:rPr>
                                <w:rFonts w:ascii="EngraversGothic BT" w:hAnsi="EngraversGothic BT" w:cs="EngraversGothic BT"/>
                                <w:sz w:val="14"/>
                              </w:rPr>
                            </w:pPr>
                            <w:r>
                              <w:rPr>
                                <w:rFonts w:cs="EngraversGothic BT" w:ascii="EngraversGothic BT" w:hAnsi="EngraversGothic BT"/>
                                <w:sz w:val="14"/>
                              </w:rPr>
                              <w:t>RIYADH – IN AFFILIATION WITH</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THE LAW OFFICE OF ABDULAZIZ H. FAHAD</w:t>
                            </w:r>
                          </w:p>
                        </w:txbxContent>
                      </wps:txbx>
                      <wps:bodyPr anchor="t" lIns="13335" tIns="13335" rIns="13335" bIns="13335">
                        <a:noAutofit/>
                      </wps:bodyPr>
                    </wps:wsp>
                  </a:graphicData>
                </a:graphic>
              </wp:anchor>
            </w:drawing>
          </mc:Choice>
          <mc:Fallback>
            <w:pict>
              <v:rect fillcolor="#FFFFFF" style="position:absolute;rotation:-0;width:136.8pt;height:160.5pt;mso-wrap-distance-left:9.05pt;mso-wrap-distance-right:9.05pt;mso-wrap-distance-top:0pt;mso-wrap-distance-bottom:0pt;margin-top:7.2pt;mso-position-vertical-relative:text;margin-left:36pt;mso-position-horizontal-relative:text">
                <v:fill opacity="0f"/>
                <v:textbox inset="0.0145833333333333in,0.0145833333333333in,0.0145833333333333in,0.0145833333333333in">
                  <w:txbxContent>
                    <w:p>
                      <w:pPr>
                        <w:pStyle w:val="Normal"/>
                        <w:spacing w:lineRule="auto" w:line="312"/>
                        <w:rPr>
                          <w:rFonts w:ascii="EngraversGothic BT" w:hAnsi="EngraversGothic BT" w:cs="EngraversGothic BT"/>
                          <w:sz w:val="14"/>
                        </w:rPr>
                      </w:pPr>
                      <w:r>
                        <w:rPr>
                          <w:rFonts w:cs="EngraversGothic BT" w:ascii="EngraversGothic BT" w:hAnsi="EngraversGothic BT"/>
                          <w:sz w:val="14"/>
                        </w:rPr>
                        <w:t>AUSTIN</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BRUSSELS</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DALLAS</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DENVER</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HOUSTON</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LONDON</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LOS ANGELES</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MOSCOW</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NEW YORK</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NORTHERN VIRGINIA</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PHILADELPHIA</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SAN ANTONIO</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WASHINGTON, D.C.</w:t>
                      </w:r>
                    </w:p>
                    <w:p>
                      <w:pPr>
                        <w:pStyle w:val="Header"/>
                        <w:pBdr>
                          <w:bottom w:val="single" w:sz="4" w:space="1" w:color="000000"/>
                        </w:pBdr>
                        <w:ind w:end="1048"/>
                        <w:rPr>
                          <w:rFonts w:ascii="EngraversGothic BT" w:hAnsi="EngraversGothic BT" w:cs="EngraversGothic BT"/>
                          <w:sz w:val="14"/>
                        </w:rPr>
                      </w:pPr>
                      <w:r>
                        <w:rPr>
                          <w:rFonts w:cs="EngraversGothic BT" w:ascii="EngraversGothic BT" w:hAnsi="EngraversGothic BT"/>
                          <w:sz w:val="14"/>
                        </w:rPr>
                      </w:r>
                    </w:p>
                    <w:p>
                      <w:pPr>
                        <w:pStyle w:val="Header"/>
                        <w:spacing w:before="60" w:after="0"/>
                        <w:rPr>
                          <w:rFonts w:ascii="EngraversGothic BT" w:hAnsi="EngraversGothic BT" w:cs="EngraversGothic BT"/>
                          <w:sz w:val="14"/>
                        </w:rPr>
                      </w:pPr>
                      <w:r>
                        <w:rPr>
                          <w:rFonts w:cs="EngraversGothic BT" w:ascii="EngraversGothic BT" w:hAnsi="EngraversGothic BT"/>
                          <w:sz w:val="14"/>
                        </w:rPr>
                        <w:t>RIYADH – IN AFFILIATION WITH</w:t>
                      </w:r>
                    </w:p>
                    <w:p>
                      <w:pPr>
                        <w:pStyle w:val="Normal"/>
                        <w:spacing w:lineRule="auto" w:line="312"/>
                        <w:rPr>
                          <w:rFonts w:ascii="EngraversGothic BT" w:hAnsi="EngraversGothic BT" w:cs="EngraversGothic BT"/>
                          <w:sz w:val="14"/>
                        </w:rPr>
                      </w:pPr>
                      <w:r>
                        <w:rPr>
                          <w:rFonts w:cs="EngraversGothic BT" w:ascii="EngraversGothic BT" w:hAnsi="EngraversGothic BT"/>
                          <w:sz w:val="14"/>
                        </w:rPr>
                        <w:t>THE LAW OFFICE OF ABDULAZIZ H. FAHAD</w:t>
                      </w:r>
                    </w:p>
                  </w:txbxContent>
                </v:textbox>
                <w10:wrap type="none"/>
              </v:rect>
            </w:pict>
          </mc:Fallback>
        </mc:AlternateContent>
      </w:r>
    </w:p>
    <w:p>
      <w:pPr>
        <w:pStyle w:val="Normal"/>
        <w:spacing w:lineRule="exact" w:line="180"/>
        <w:jc w:val="center"/>
        <w:rPr/>
      </w:pPr>
      <w:r>
        <w:rPr>
          <w:rStyle w:val="LtrhdHeading"/>
          <w:sz w:val="19"/>
        </w:rPr>
        <w:t>a registered limited liability partnership</w:t>
      </w:r>
    </w:p>
    <w:p>
      <w:pPr>
        <w:pStyle w:val="Normal"/>
        <w:spacing w:lineRule="exact" w:line="180"/>
        <w:jc w:val="center"/>
        <w:rPr/>
      </w:pPr>
      <w:r>
        <w:rPr>
          <w:rStyle w:val="LtrhdHeading"/>
          <w:sz w:val="19"/>
        </w:rPr>
        <w:t>including professional corporations</w:t>
      </w:r>
    </w:p>
    <w:p>
      <w:pPr>
        <w:pStyle w:val="Normal"/>
        <w:spacing w:before="120" w:after="0"/>
        <w:jc w:val="center"/>
        <w:rPr/>
      </w:pPr>
      <w:r>
        <w:rPr>
          <w:rStyle w:val="LtrhdHeading"/>
        </w:rPr>
        <w:t>ROBERT S. STRAUSS BUILDING</w:t>
      </w:r>
    </w:p>
    <w:p>
      <w:pPr>
        <w:pStyle w:val="Normal"/>
        <w:spacing w:before="80" w:after="40"/>
        <w:jc w:val="center"/>
        <w:rPr/>
      </w:pPr>
      <w:r>
        <w:rPr>
          <w:rStyle w:val="LtrhdHeading"/>
        </w:rPr>
        <w:t>1333 NEW HAMPSHIRE AVENUE, N.W.</w:t>
      </w:r>
    </w:p>
    <w:p>
      <w:pPr>
        <w:pStyle w:val="Normal"/>
        <w:spacing w:before="0" w:after="40"/>
        <w:jc w:val="center"/>
        <w:rPr/>
      </w:pPr>
      <w:r>
        <w:rPr>
          <w:rStyle w:val="LtrhdHeading"/>
        </w:rPr>
        <w:t>WASHINGTON, D.C. 20036</w:t>
      </w:r>
    </w:p>
    <w:p>
      <w:pPr>
        <w:pStyle w:val="Normal"/>
        <w:spacing w:before="0" w:after="40"/>
        <w:jc w:val="center"/>
        <w:rPr/>
      </w:pPr>
      <w:r>
        <w:rPr>
          <w:rStyle w:val="LtrhdHeading"/>
          <w:sz w:val="16"/>
        </w:rPr>
        <w:t>(202) 887-4000</w:t>
      </w:r>
    </w:p>
    <w:p>
      <w:pPr>
        <w:pStyle w:val="Normal"/>
        <w:spacing w:before="0" w:after="40"/>
        <w:jc w:val="center"/>
        <w:rPr/>
      </w:pPr>
      <w:r>
        <w:rPr>
          <w:rStyle w:val="LtrhdHeading"/>
          <w:sz w:val="16"/>
        </w:rPr>
        <w:t>FAX  (202) 887-4288</w:t>
      </w:r>
    </w:p>
    <w:p>
      <w:pPr>
        <w:pStyle w:val="Normal"/>
        <w:spacing w:before="0" w:after="220"/>
        <w:jc w:val="center"/>
        <w:rPr/>
      </w:pPr>
      <w:r>
        <w:rPr>
          <w:rStyle w:val="LtrhdHeading"/>
          <w:rFonts w:cs="Arial" w:ascii="Arial" w:hAnsi="Arial"/>
          <w:sz w:val="14"/>
        </w:rPr>
        <w:t>www.akingump.com</w:t>
      </w:r>
    </w:p>
    <w:p>
      <w:pPr>
        <w:sectPr>
          <w:headerReference w:type="default" r:id="rId2"/>
          <w:headerReference w:type="first" r:id="rId3"/>
          <w:footerReference w:type="default" r:id="rId4"/>
          <w:footerReference w:type="first" r:id="rId5"/>
          <w:type w:val="nextPage"/>
          <w:pgSz w:w="12240" w:h="15840"/>
          <w:pgMar w:left="720" w:right="720" w:gutter="0" w:header="720" w:top="936" w:footer="936" w:bottom="1728"/>
          <w:pgNumType w:fmt="decimal"/>
          <w:formProt w:val="false"/>
          <w:titlePg/>
          <w:textDirection w:val="lrTb"/>
          <w:docGrid w:type="default" w:linePitch="360" w:charSpace="0"/>
        </w:sectPr>
      </w:pPr>
    </w:p>
    <w:p>
      <w:pPr>
        <w:pStyle w:val="Normal"/>
        <w:rPr>
          <w:rStyle w:val="LtrhdHeading"/>
          <w:rFonts w:ascii="Courier New" w:hAnsi="Courier New" w:cs="Courier New"/>
          <w:kern w:val="2"/>
          <w:sz w:val="24"/>
        </w:rPr>
      </w:pPr>
      <w:r>
        <w:rPr/>
      </w:r>
      <w:bookmarkStart w:id="0" w:name="Text"/>
      <w:bookmarkStart w:id="1" w:name="Text"/>
      <w:bookmarkEnd w:id="1"/>
    </w:p>
    <w:p>
      <w:pPr>
        <w:pStyle w:val="Normal"/>
        <w:rPr>
          <w:rFonts w:ascii="Courier New" w:hAnsi="Courier New" w:cs="Courier New"/>
          <w:kern w:val="2"/>
          <w:sz w:val="24"/>
        </w:rPr>
      </w:pPr>
      <w:r>
        <w:rPr>
          <w:rFonts w:cs="Courier New" w:ascii="Courier New" w:hAnsi="Courier New"/>
          <w:kern w:val="2"/>
          <w:sz w:val="24"/>
        </w:rPr>
      </w:r>
    </w:p>
    <w:p>
      <w:pPr>
        <w:pStyle w:val="Normal"/>
        <w:rPr>
          <w:rFonts w:ascii="Courier New" w:hAnsi="Courier New" w:cs="Courier New"/>
          <w:kern w:val="2"/>
          <w:sz w:val="24"/>
        </w:rPr>
      </w:pPr>
      <w:r>
        <w:rPr>
          <w:rFonts w:cs="Courier New" w:ascii="Courier New" w:hAnsi="Courier New"/>
          <w:kern w:val="2"/>
          <w:sz w:val="24"/>
        </w:rPr>
      </w:r>
    </w:p>
    <w:p>
      <w:pPr>
        <w:pStyle w:val="Normal"/>
        <w:rPr>
          <w:rFonts w:ascii="Courier New" w:hAnsi="Courier New" w:cs="Courier New"/>
          <w:kern w:val="2"/>
          <w:sz w:val="24"/>
        </w:rPr>
      </w:pPr>
      <w:r>
        <w:rPr>
          <w:rFonts w:cs="Courier New" w:ascii="Courier New" w:hAnsi="Courier New"/>
          <w:kern w:val="2"/>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kern w:val="2"/>
                <w:sz w:val="24"/>
              </w:rPr>
            </w:pPr>
            <w:r>
              <w:rPr>
                <w:b/>
                <w:kern w:val="2"/>
                <w:sz w:val="24"/>
              </w:rPr>
              <w:t>FOR IMMEDIATE RELEASE:</w:t>
            </w:r>
          </w:p>
          <w:p>
            <w:pPr>
              <w:pStyle w:val="Normal"/>
              <w:rPr>
                <w:b/>
                <w:kern w:val="2"/>
                <w:sz w:val="24"/>
              </w:rPr>
            </w:pPr>
            <w:r>
              <w:rPr>
                <w:b/>
                <w:kern w:val="2"/>
                <w:sz w:val="24"/>
              </w:rPr>
              <w:fldChar w:fldCharType="begin"/>
            </w:r>
            <w:r>
              <w:rPr>
                <w:sz w:val="24"/>
                <w:b/>
                <w:kern w:val="2"/>
              </w:rPr>
              <w:instrText xml:space="preserve"> FILLIN "Please enter RELEASE DATE here."</w:instrText>
            </w:r>
            <w:r>
              <w:rPr>
                <w:sz w:val="24"/>
                <w:b/>
                <w:kern w:val="2"/>
              </w:rPr>
              <w:fldChar w:fldCharType="separate"/>
            </w:r>
            <w:r>
              <w:rPr>
                <w:sz w:val="24"/>
                <w:b/>
                <w:kern w:val="2"/>
              </w:rPr>
              <w:t xml:space="preserve">February 8, 2001 </w:t>
            </w:r>
            <w:r>
              <w:rPr>
                <w:sz w:val="24"/>
                <w:b/>
                <w:kern w:val="2"/>
              </w:rPr>
              <w:fldChar w:fldCharType="end"/>
            </w:r>
          </w:p>
        </w:tc>
        <w:tc>
          <w:tcPr>
            <w:tcW w:w="4788" w:type="dxa"/>
            <w:tcBorders/>
          </w:tcPr>
          <w:p>
            <w:pPr>
              <w:pStyle w:val="Normal"/>
              <w:jc w:val="end"/>
              <w:rPr>
                <w:b/>
                <w:kern w:val="2"/>
                <w:sz w:val="24"/>
              </w:rPr>
            </w:pPr>
            <w:r>
              <w:rPr>
                <w:b/>
                <w:kern w:val="2"/>
                <w:sz w:val="24"/>
              </w:rPr>
              <w:t xml:space="preserve">Contact:  </w:t>
            </w:r>
            <w:r>
              <w:rPr>
                <w:b/>
                <w:kern w:val="2"/>
                <w:sz w:val="24"/>
              </w:rPr>
              <w:fldChar w:fldCharType="begin"/>
            </w:r>
            <w:r>
              <w:rPr>
                <w:sz w:val="24"/>
                <w:b/>
                <w:kern w:val="2"/>
              </w:rPr>
              <w:instrText xml:space="preserve"> FILLIN "Enter CONTACT NAME(s), TELEPHONE NUMBER(s) and EMAIL ADDRESS(es) here. Press ENTER after every name, number and address."</w:instrText>
            </w:r>
            <w:r>
              <w:rPr>
                <w:sz w:val="24"/>
                <w:b/>
                <w:kern w:val="2"/>
              </w:rPr>
              <w:fldChar w:fldCharType="separate"/>
            </w:r>
            <w:r>
              <w:rPr>
                <w:sz w:val="24"/>
                <w:b/>
                <w:kern w:val="2"/>
              </w:rPr>
              <w:t>Kristen M. White</w:t>
              <w:br/>
              <w:t>(202) 887-4536</w:t>
              <w:br/>
              <w:t>kwhite@akingump.com</w:t>
              <w:br/>
            </w:r>
            <w:r>
              <w:rPr>
                <w:sz w:val="24"/>
                <w:b/>
                <w:kern w:val="2"/>
              </w:rPr>
              <w:fldChar w:fldCharType="end"/>
            </w:r>
          </w:p>
        </w:tc>
      </w:tr>
      <w:tr>
        <w:trPr>
          <w:trHeight w:val="240" w:hRule="exact"/>
        </w:trPr>
        <w:tc>
          <w:tcPr>
            <w:tcW w:w="9576" w:type="dxa"/>
            <w:gridSpan w:val="2"/>
            <w:tcBorders/>
          </w:tcPr>
          <w:p>
            <w:pPr>
              <w:pStyle w:val="Normal"/>
              <w:snapToGrid w:val="false"/>
              <w:jc w:val="center"/>
              <w:rPr>
                <w:b/>
                <w:caps/>
                <w:kern w:val="2"/>
                <w:sz w:val="24"/>
              </w:rPr>
            </w:pPr>
            <w:r>
              <w:rPr>
                <w:b/>
                <w:caps/>
                <w:kern w:val="2"/>
                <w:sz w:val="24"/>
              </w:rPr>
            </w:r>
          </w:p>
        </w:tc>
      </w:tr>
      <w:tr>
        <w:trPr/>
        <w:tc>
          <w:tcPr>
            <w:tcW w:w="9576" w:type="dxa"/>
            <w:gridSpan w:val="2"/>
            <w:tcBorders/>
          </w:tcPr>
          <w:p>
            <w:pPr>
              <w:pStyle w:val="Normal"/>
              <w:jc w:val="center"/>
              <w:rPr>
                <w:b/>
                <w:kern w:val="2"/>
                <w:sz w:val="24"/>
              </w:rPr>
            </w:pPr>
            <w:r>
              <w:rPr>
                <w:b/>
                <w:kern w:val="2"/>
                <w:sz w:val="24"/>
              </w:rPr>
              <w:fldChar w:fldCharType="begin"/>
            </w:r>
            <w:r>
              <w:rPr>
                <w:sz w:val="24"/>
                <w:b/>
                <w:kern w:val="2"/>
              </w:rPr>
              <w:instrText xml:space="preserve"> FILLIN "Please enter HEADLINE here (Type it EXACTLY as you would like it to appear)."</w:instrText>
            </w:r>
            <w:r>
              <w:rPr>
                <w:sz w:val="24"/>
                <w:b/>
                <w:kern w:val="2"/>
              </w:rPr>
              <w:fldChar w:fldCharType="separate"/>
            </w:r>
            <w:r>
              <w:rPr>
                <w:sz w:val="24"/>
                <w:b/>
                <w:kern w:val="2"/>
              </w:rPr>
              <w:t>DAN GLICKMAN JOINS AKIN GUMP</w:t>
              <w:br/>
              <w:t>Former Secretary of Agriculture Brings Extensive Political, Legal Skills</w:t>
            </w:r>
            <w:r>
              <w:rPr>
                <w:sz w:val="24"/>
                <w:b/>
                <w:kern w:val="2"/>
              </w:rPr>
              <w:fldChar w:fldCharType="end"/>
            </w:r>
          </w:p>
        </w:tc>
      </w:tr>
    </w:tbl>
    <w:p>
      <w:pPr>
        <w:pStyle w:val="Normal"/>
        <w:rPr>
          <w:kern w:val="2"/>
        </w:rPr>
      </w:pPr>
      <w:r>
        <w:rPr>
          <w:kern w:val="2"/>
        </w:rPr>
      </w:r>
    </w:p>
    <w:p>
      <w:pPr>
        <w:pStyle w:val="BodyText"/>
        <w:tabs>
          <w:tab w:val="left" w:pos="720" w:leader="none"/>
        </w:tabs>
        <w:rPr/>
      </w:pPr>
      <w:r>
        <w:rPr>
          <w:kern w:val="2"/>
        </w:rPr>
        <w:t xml:space="preserve">(Washington, D.C.) – Akin, Gump, Strauss, Hauer &amp; Feld, L.L.P. announced today that former U.S. Secretary of Agriculture </w:t>
      </w:r>
      <w:r>
        <w:rPr>
          <w:b/>
          <w:kern w:val="2"/>
        </w:rPr>
        <w:t>Dan Glickman</w:t>
      </w:r>
      <w:r>
        <w:rPr>
          <w:kern w:val="2"/>
        </w:rPr>
        <w:t xml:space="preserve"> has joined the firm as a partner in the public law and policy practice group in Washington.  Secretary Glickman will advise the firm’s clients on a wide range of matters, including agriculture generally, food and food safety, health and biotechnology, with special emphasis on international trade.  </w:t>
      </w:r>
    </w:p>
    <w:p>
      <w:pPr>
        <w:pStyle w:val="BodyText"/>
        <w:tabs>
          <w:tab w:val="left" w:pos="720" w:leader="none"/>
        </w:tabs>
        <w:rPr>
          <w:kern w:val="2"/>
        </w:rPr>
      </w:pPr>
      <w:r>
        <w:rPr>
          <w:kern w:val="2"/>
        </w:rPr>
        <w:t xml:space="preserve">Ambassador Robert S. Strauss, Akin Gump’s founding partner, remarked, “We are extremely fortunate and honored to have Secretary Glickman join Akin Gump.  While serving our nation at the highest levels of government, he earned the respect of political and business leaders around the world.  Admired by Republicans and Democrats alike, he is a splendid addition to our practice.  I am proud and delighted that he has chosen to bring his tremendous political and legal skills to our firm.”  </w:t>
      </w:r>
    </w:p>
    <w:p>
      <w:pPr>
        <w:pStyle w:val="BodyText"/>
        <w:tabs>
          <w:tab w:val="left" w:pos="720" w:leader="none"/>
        </w:tabs>
        <w:rPr/>
      </w:pPr>
      <w:r>
        <w:rPr>
          <w:kern w:val="2"/>
        </w:rPr>
        <w:t>Secretary Glickman served as the secretary of agriculture from March 1995 until January 2001.  Under his leadership, the department modernized food safety regulations; forged international trade agreements to expand U.S. markets; and improved its commitment to fairness and equality in civil rights, both in the treatment of its employees and in the execution of its programs.  D</w:t>
      </w:r>
      <w:r>
        <w:rPr/>
        <w:t xml:space="preserve">uring his tenure, the department also focused extensively on improving our nation’s diet and nutrition, and on fighting hunger.  </w:t>
      </w:r>
      <w:r>
        <w:rPr>
          <w:kern w:val="2"/>
        </w:rPr>
        <w:t xml:space="preserve">As an advocate of biotechnology and its potential to increase agricultural productivity and preserve the nation’s natural resources, Secretary Glickman led the effort to ensure that this new technology is governed by an effective regulatory approval process based on sound science.  </w:t>
      </w:r>
    </w:p>
    <w:p>
      <w:pPr>
        <w:pStyle w:val="BodyText"/>
        <w:tabs>
          <w:tab w:val="left" w:pos="720" w:leader="none"/>
        </w:tabs>
        <w:rPr/>
      </w:pPr>
      <w:r>
        <w:rPr>
          <w:kern w:val="2"/>
        </w:rPr>
        <w:t>Before his appointment as secretary of agriculture, Secretary Glickman served for 18 years in the U.S. House of Representatives, representing Kansas’ 4</w:t>
      </w:r>
      <w:r>
        <w:rPr>
          <w:kern w:val="2"/>
          <w:vertAlign w:val="superscript"/>
        </w:rPr>
        <w:t>th</w:t>
      </w:r>
      <w:r>
        <w:rPr>
          <w:kern w:val="2"/>
        </w:rPr>
        <w:t xml:space="preserve"> Congressional District.  During that time, he served as a member of the House Agriculture Committee, including six years as chairman of the subcommittee that had jurisdiction over most federal farm policy issues</w:t>
      </w:r>
      <w:r>
        <w:rPr/>
        <w:t xml:space="preserve">.  Moreover, he was an active member of the House Judiciary Committee, where he was a leader on technology issues.  In addition to his focus on agriculture, Secretary Glickman was a leading congressional expert on general aviation policy, and also served as chairman of the House Permanent Select Committee on Intelligence.  </w:t>
      </w:r>
    </w:p>
    <w:p>
      <w:pPr>
        <w:pStyle w:val="BodyText"/>
        <w:tabs>
          <w:tab w:val="left" w:pos="720" w:leader="none"/>
        </w:tabs>
        <w:rPr/>
      </w:pPr>
      <w:r>
        <w:rPr/>
        <w:t xml:space="preserve">Before his election to Congress in 1976, Secretary Glickman served as president of the Wichita, Kansas, School Board; was a partner in the law firm of Sargent, Klenda and Glickman; and worked as a trial attorney at the U.S. Securities and Exchange Commission.  He received his B.A. in history from the University of Michigan and his J.D. from the George Washington University.  </w:t>
      </w:r>
    </w:p>
    <w:p>
      <w:pPr>
        <w:pStyle w:val="BodyText"/>
        <w:tabs>
          <w:tab w:val="left" w:pos="720" w:leader="none"/>
        </w:tabs>
        <w:rPr/>
      </w:pPr>
      <w:r>
        <w:rPr/>
        <w:t xml:space="preserve">Joel Jankowsky, national chair of the firm’s public law and policy practice, commented, “Dan Glickman is well-known as an experienced and innovative leader with an outstanding record of public service in both the legislative and executive branches of our government.  Virtually every one of our clients is affected by the convergence of law, government and business.  Dan’s experience and skills as a problem solver will be of significant benefit to clients around the world.  We are very happy to have him with us.”  </w:t>
      </w:r>
    </w:p>
    <w:p>
      <w:pPr>
        <w:pStyle w:val="BodyText"/>
        <w:tabs>
          <w:tab w:val="left" w:pos="720" w:leader="none"/>
        </w:tabs>
        <w:rPr>
          <w:kern w:val="2"/>
        </w:rPr>
      </w:pPr>
      <w:r>
        <w:rPr/>
        <w:t>Secretary Glickman added, “Akin Gump has an excellent reputation among business and political leaders.  The firm’s large, distinguished team of public law and policy practitioners enjoys significant depth on both sides of the aisle.  I look forward to combining my government and legal experience to advise Akin Gump’s clients as they face new challenges in this constantly changing global marketplace.”</w:t>
      </w:r>
    </w:p>
    <w:p>
      <w:pPr>
        <w:pStyle w:val="BodyText"/>
        <w:tabs>
          <w:tab w:val="left" w:pos="720" w:leader="none"/>
        </w:tabs>
        <w:suppressAutoHyphens w:val="true"/>
        <w:spacing w:before="0" w:after="0"/>
        <w:ind w:hanging="0" w:end="0"/>
        <w:rPr>
          <w:i/>
          <w:i/>
          <w:kern w:val="2"/>
        </w:rPr>
      </w:pPr>
      <w:r>
        <w:rPr>
          <w:i/>
          <w:kern w:val="2"/>
        </w:rPr>
        <w:tab/>
        <w:t>Founded in 1945, Akin, Gump, Strauss, Hauer &amp; Feld, L.L.P., a leading international law firm, numbers 1050 lawyers with offices in Austin, Brussels, Dallas, Denver, Houston, London, Los Angeles, Moscow, New York, Northern Virginia, Philadelphia, Riyadh (affiliate), San Antonio and Washington.  The firm has a diversified practice and represents regional, national and international clients in a wide range of areas, including antitrust; banking and financial institutions; capital markets; communications; corporate and securities; employee benefits; energy; entertainment; environment, land use and project development; estate planning, wealth transfer and probate; financial restructuring; government contracts; health; insurance; intellectual property; international; investment management; labor and employment; litigation; mergers and acquisitions; privatization; project finance; public law and policy; real estate and finance; taxation; and technology.  For additional information, please visit our Web site at http://www.akingump.com.</w:t>
      </w:r>
    </w:p>
    <w:p>
      <w:pPr>
        <w:pStyle w:val="BodyText"/>
        <w:tabs>
          <w:tab w:val="left" w:pos="720" w:leader="none"/>
        </w:tabs>
        <w:suppressAutoHyphens w:val="true"/>
        <w:spacing w:before="0" w:after="0"/>
        <w:ind w:hanging="0" w:end="0"/>
        <w:jc w:val="center"/>
        <w:rPr>
          <w:i/>
          <w:i/>
          <w:kern w:val="2"/>
        </w:rPr>
      </w:pPr>
      <w:r>
        <w:rPr>
          <w:i/>
          <w:kern w:val="2"/>
        </w:rPr>
      </w:r>
    </w:p>
    <w:p>
      <w:pPr>
        <w:pStyle w:val="BodyText"/>
        <w:tabs>
          <w:tab w:val="left" w:pos="720" w:leader="none"/>
        </w:tabs>
        <w:suppressAutoHyphens w:val="true"/>
        <w:spacing w:before="0" w:after="0"/>
        <w:ind w:hanging="0" w:end="0"/>
        <w:jc w:val="center"/>
        <w:rPr>
          <w:i/>
          <w:i/>
          <w:kern w:val="2"/>
        </w:rPr>
      </w:pPr>
      <w:r>
        <w:rPr>
          <w:i/>
          <w:kern w:val="2"/>
        </w:rPr>
        <w:t># # #</w:t>
      </w:r>
    </w:p>
    <w:sectPr>
      <w:type w:val="continuous"/>
      <w:pgSz w:w="12240" w:h="15840"/>
      <w:pgMar w:left="1440" w:right="1440" w:gutter="0" w:header="720" w:top="936" w:footer="936" w:bottom="172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-more-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fldChar w:fldCharType="begin"/>
    </w:r>
    <w:r>
      <w:rPr/>
      <w:instrText xml:space="preserve"> MERGEFIELD HeaderInformation </w:instrText>
    </w:r>
    <w:r>
      <w:rPr/>
      <w:fldChar w:fldCharType="separate"/>
    </w:r>
    <w:r>
      <w:rPr/>
      <w:t>«HeaderInformation»</w:t>
    </w:r>
    <w:r>
      <w:rPr/>
      <w:fldChar w:fldCharType="end"/>
    </w:r>
  </w:p>
  <w:p>
    <w:pPr>
      <w:pStyle w:val="Normal"/>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LtrhdHeading">
    <w:name w:val="LtrhdHeading"/>
    <w:basedOn w:val="DefaultParagraphFont"/>
    <w:qFormat/>
    <w:rPr>
      <w:rFonts w:ascii="EngraversGothic BT" w:hAnsi="EngraversGothic BT" w:cs="EngraversGothic B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jc w:val="center"/>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Wdc-pr.dot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2001-02-07T19:26:00Z</dcterms:created>
  <dc:creator>Akin Gump</dc:creator>
  <dc:description>For DC Marketing Department use ONLY</dc:description>
  <dc:language>en-CA</dc:language>
  <cp:lastModifiedBy>Akin Gump</cp:lastModifiedBy>
  <cp:lastPrinted>2001-02-07T14:59:00Z</cp:lastPrinted>
  <dcterms:modified xsi:type="dcterms:W3CDTF">2001-02-07T19:26:00Z</dcterms:modified>
  <cp:revision>2</cp:revision>
  <dc:subject>Press Release Template</dc:subject>
  <dc:title>AKIN, GUMP, STRAUSS, HAUER &amp; FELD, L</dc:title>
</cp:coreProperties>
</file>