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475"/>
        <w:jc w:val="center"/>
        <w:rPr>
          <w:sz w:val="24"/>
        </w:rPr>
      </w:pPr>
      <w:r>
        <w:rPr>
          <w:b/>
          <w:sz w:val="24"/>
          <w:u w:val="single"/>
        </w:rPr>
        <w:t>INTERNATIONAL UNIFORM BROKERAGE EXECUTION (“GIVE-UP”) AGREEMENT</w:t>
      </w:r>
      <w:r>
        <w:rPr>
          <w:rStyle w:val="FootnoteCharacters"/>
          <w:rStyle w:val="FootnoteReference"/>
          <w:b/>
          <w:sz w:val="24"/>
          <w:u w:val="single"/>
        </w:rPr>
        <w:footnoteReference w:id="2"/>
      </w:r>
    </w:p>
    <w:p>
      <w:pPr>
        <w:pStyle w:val="Normal"/>
        <w:ind w:start="-360" w:end="-475"/>
        <w:jc w:val="both"/>
        <w:rPr>
          <w:sz w:val="18"/>
        </w:rPr>
      </w:pPr>
      <w:r>
        <w:rPr>
          <w:sz w:val="18"/>
        </w:rPr>
      </w:r>
    </w:p>
    <w:p>
      <w:pPr>
        <w:pStyle w:val="Normal"/>
        <w:ind w:start="-360" w:end="-475"/>
        <w:jc w:val="both"/>
        <w:rPr>
          <w:sz w:val="18"/>
        </w:rPr>
      </w:pPr>
      <w:r>
        <w:rPr>
          <w:rFonts w:eastAsia="Arial"/>
          <w:sz w:val="18"/>
        </w:rPr>
        <w:t xml:space="preserve"> </w:t>
      </w:r>
      <w:r>
        <w:rPr>
          <w:sz w:val="18"/>
        </w:rPr>
        <w:t>Agreement made this     day of                     2001, by and among</w:t>
      </w:r>
    </w:p>
    <w:p>
      <w:pPr>
        <w:pStyle w:val="Normal"/>
        <w:ind w:hanging="90" w:start="-270" w:end="-475"/>
        <w:rPr>
          <w:sz w:val="18"/>
          <w:u w:val="single"/>
        </w:rPr>
      </w:pPr>
      <w:r>
        <w:rPr>
          <w:sz w:val="18"/>
          <w:u w:val="single"/>
        </w:rPr>
      </w:r>
    </w:p>
    <w:p>
      <w:pPr>
        <w:pStyle w:val="Normal"/>
        <w:ind w:start="-360" w:end="-475"/>
        <w:rPr/>
      </w:pPr>
      <w:r>
        <w:rPr>
          <w:sz w:val="18"/>
          <w:u w:val="single"/>
        </w:rPr>
        <w:tab/>
        <w:tab/>
        <w:tab/>
        <w:tab/>
        <w:tab/>
        <w:tab/>
        <w:tab/>
        <w:tab/>
        <w:tab/>
        <w:tab/>
        <w:tab/>
        <w:t xml:space="preserve">  </w:t>
        <w:tab/>
        <w:t xml:space="preserve">         </w:t>
      </w:r>
      <w:r>
        <w:rPr>
          <w:sz w:val="18"/>
        </w:rPr>
        <w:t>(“Executing Broker")</w:t>
      </w:r>
    </w:p>
    <w:p>
      <w:pPr>
        <w:pStyle w:val="Normal"/>
        <w:ind w:start="-360" w:end="-475"/>
        <w:rPr>
          <w:sz w:val="18"/>
          <w:u w:val="single"/>
        </w:rPr>
      </w:pPr>
      <w:r>
        <w:rPr>
          <w:sz w:val="18"/>
          <w:u w:val="single"/>
        </w:rPr>
      </w:r>
    </w:p>
    <w:p>
      <w:pPr>
        <w:pStyle w:val="Normal"/>
        <w:ind w:start="-360" w:end="-475"/>
        <w:rPr/>
      </w:pPr>
      <w:r>
        <w:rPr>
          <w:sz w:val="18"/>
          <w:u w:val="single"/>
        </w:rPr>
        <w:tab/>
        <w:tab/>
        <w:tab/>
        <w:tab/>
        <w:tab/>
        <w:tab/>
        <w:tab/>
        <w:tab/>
        <w:tab/>
        <w:tab/>
        <w:tab/>
        <w:tab/>
        <w:t xml:space="preserve">             </w:t>
      </w:r>
      <w:r>
        <w:rPr>
          <w:sz w:val="18"/>
        </w:rPr>
        <w:t>“Clearing Broker)</w:t>
      </w:r>
    </w:p>
    <w:p>
      <w:pPr>
        <w:pStyle w:val="Normal"/>
        <w:ind w:start="-360" w:end="-475"/>
        <w:rPr>
          <w:sz w:val="18"/>
        </w:rPr>
      </w:pPr>
      <w:r>
        <w:rPr>
          <w:sz w:val="18"/>
        </w:rPr>
      </w:r>
    </w:p>
    <w:p>
      <w:pPr>
        <w:pStyle w:val="Normal"/>
        <w:ind w:start="-360" w:end="-475"/>
        <w:rPr/>
      </w:pPr>
      <w:r>
        <w:rPr>
          <w:sz w:val="18"/>
          <w:u w:val="single"/>
        </w:rPr>
        <w:tab/>
        <w:tab/>
        <w:tab/>
        <w:tab/>
        <w:tab/>
        <w:tab/>
        <w:tab/>
        <w:tab/>
        <w:tab/>
        <w:tab/>
        <w:tab/>
        <w:tab/>
        <w:tab/>
        <w:t xml:space="preserve">       </w:t>
      </w:r>
      <w:r>
        <w:rPr>
          <w:sz w:val="18"/>
        </w:rPr>
        <w:t>(“Customer”)</w:t>
      </w:r>
    </w:p>
    <w:p>
      <w:pPr>
        <w:pStyle w:val="Normal"/>
        <w:ind w:hanging="360" w:start="-360" w:end="-475"/>
        <w:jc w:val="both"/>
        <w:rPr>
          <w:sz w:val="18"/>
        </w:rPr>
      </w:pPr>
      <w:r>
        <w:rPr>
          <w:sz w:val="18"/>
        </w:rPr>
      </w:r>
    </w:p>
    <w:p>
      <w:pPr>
        <w:pStyle w:val="Normal"/>
        <w:ind w:hanging="360" w:start="-360" w:end="-475"/>
        <w:jc w:val="both"/>
        <w:rPr>
          <w:sz w:val="18"/>
        </w:rPr>
      </w:pPr>
      <w:r>
        <w:rPr>
          <w:sz w:val="18"/>
        </w:rPr>
        <w:t>1.</w:t>
        <w:tab/>
        <w:t>All transactions executed or cleared hereunder shall be subject to applicable laws, governmental, regulatory, self-regulatory, exchange or clearing house rules,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judgement, in a commercially reasonable manner under the circumstances, and consistent with Applicable Law.</w:t>
      </w:r>
    </w:p>
    <w:p>
      <w:pPr>
        <w:pStyle w:val="Normal"/>
        <w:ind w:hanging="360" w:start="-360" w:end="-475"/>
        <w:jc w:val="both"/>
        <w:rPr>
          <w:sz w:val="18"/>
        </w:rPr>
      </w:pPr>
      <w:r>
        <w:rPr>
          <w:sz w:val="18"/>
        </w:rPr>
      </w:r>
    </w:p>
    <w:p>
      <w:pPr>
        <w:pStyle w:val="Normal"/>
        <w:ind w:hanging="360" w:start="-360" w:end="-475"/>
        <w:jc w:val="both"/>
        <w:rPr>
          <w:sz w:val="18"/>
        </w:rPr>
      </w:pPr>
      <w:r>
        <w:rPr>
          <w:sz w:val="18"/>
        </w:rPr>
        <w:t>2.</w:t>
        <w:tab/>
        <w:t xml:space="preserve">Customer authorizes Executing Broker to execute orders for Customer as transmitted by Customer to Executing Broker.  Executing Broker reserves the right to reject an order that Customer may transmit to Executing Broker for execution and shall promptly notify Customer of any such rejection.  Clearing Broker may, upon prior notice to Executing Broker and Customer, place limits or conditions on the positions it will accept for give-up for Customer’s account.  </w:t>
      </w:r>
    </w:p>
    <w:p>
      <w:pPr>
        <w:pStyle w:val="Normal"/>
        <w:ind w:hanging="360" w:start="-360" w:end="-475"/>
        <w:jc w:val="both"/>
        <w:rPr>
          <w:sz w:val="18"/>
        </w:rPr>
      </w:pPr>
      <w:r>
        <w:rPr>
          <w:sz w:val="18"/>
        </w:rPr>
      </w:r>
    </w:p>
    <w:p>
      <w:pPr>
        <w:pStyle w:val="Normal"/>
        <w:ind w:hanging="360" w:start="-360" w:end="-475"/>
        <w:jc w:val="both"/>
        <w:rPr>
          <w:sz w:val="18"/>
        </w:rPr>
      </w:pPr>
      <w:r>
        <w:rPr>
          <w:sz w:val="18"/>
        </w:rPr>
        <w:t>3.</w:t>
        <w:tab/>
        <w:t>Unless otherwise agreed in writing, each of the parties authorizes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p>
    <w:p>
      <w:pPr>
        <w:pStyle w:val="Normal"/>
        <w:ind w:hanging="360" w:start="-360" w:end="-475"/>
        <w:jc w:val="both"/>
        <w:rPr>
          <w:sz w:val="18"/>
        </w:rPr>
      </w:pPr>
      <w:r>
        <w:rPr>
          <w:sz w:val="18"/>
        </w:rPr>
      </w:r>
    </w:p>
    <w:p>
      <w:pPr>
        <w:pStyle w:val="Normal"/>
        <w:ind w:hanging="360" w:start="-360" w:end="-475"/>
        <w:jc w:val="both"/>
        <w:rPr>
          <w:sz w:val="18"/>
        </w:rPr>
      </w:pPr>
      <w:r>
        <w:rPr>
          <w:sz w:val="18"/>
        </w:rPr>
        <w:t>4.</w:t>
        <w:tab/>
        <w:t>Customer will be responsible for accurate placement of orders with Executing Broker.  Executing Broker, and not Clearing Broker, will be responsible for determining that all orders are placed or authorized by Customer. Additionally, Executing Broker will: (a) upon placement of the order by Customer, confirm the terms of the order with Customer if customary and practicable; (b) be responsible for the accurate execution of all such orders; (c) confirm the execution of such orders to Customer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neither Executing Broker nor Clearing Broker shall be responsible or liable for losses or damages resulting from: (x) error, negligence or misconduct of Customer and/or exchange or clearing house; (y) failure of transmission or communication facilities; or (z) any other cause or causes beyond their control.</w:t>
      </w:r>
    </w:p>
    <w:p>
      <w:pPr>
        <w:pStyle w:val="Normal"/>
        <w:ind w:hanging="360" w:start="-360" w:end="-475"/>
        <w:jc w:val="both"/>
        <w:rPr>
          <w:sz w:val="18"/>
        </w:rPr>
      </w:pPr>
      <w:r>
        <w:rPr>
          <w:sz w:val="18"/>
        </w:rPr>
      </w:r>
    </w:p>
    <w:p>
      <w:pPr>
        <w:pStyle w:val="Normal"/>
        <w:ind w:hanging="360" w:start="-360" w:end="-475"/>
        <w:jc w:val="both"/>
        <w:rPr>
          <w:sz w:val="18"/>
        </w:rPr>
      </w:pPr>
      <w:r>
        <w:rPr>
          <w:sz w:val="18"/>
        </w:rPr>
        <w:t>5.</w:t>
        <w:tab/>
        <w:t>Executing Broker will, where applicable, bill commissions for executing trades, as elected in Section 12 below, on a monthly basis.  Customer or Clearing Broker, as elected in Section 12 below, shall be responsible for verifying billing and making payment.  Clearing Broker will, where applicable, pay floor brokerage fees, as well as any exchange or clearing house fees, incurred for all transactions executed by Executing Broker for and on behalf of Customer and subsequently accepted by Clearing Broker.</w:t>
      </w:r>
    </w:p>
    <w:p>
      <w:pPr>
        <w:pStyle w:val="Normal"/>
        <w:ind w:hanging="360" w:start="-360" w:end="-475"/>
        <w:jc w:val="both"/>
        <w:rPr>
          <w:sz w:val="18"/>
        </w:rPr>
      </w:pPr>
      <w:r>
        <w:rPr>
          <w:sz w:val="18"/>
        </w:rPr>
      </w:r>
    </w:p>
    <w:p>
      <w:pPr>
        <w:pStyle w:val="Normal"/>
        <w:ind w:hanging="360" w:start="-360" w:end="-475"/>
        <w:jc w:val="both"/>
        <w:rPr>
          <w:sz w:val="18"/>
        </w:rPr>
      </w:pPr>
      <w:r>
        <w:rPr>
          <w:sz w:val="18"/>
        </w:rPr>
        <w:t>6.</w:t>
        <w:tab/>
        <w:t>In the event that Customer disputes or denies knowledge of any transaction confirmed to Customer, Clearing Broker or Executing Broker shall be authorized to liquidate or otherwise offset the disputed position. Where practicable, prior notice of such liquidation or offset shall be provided to the other parties to this Agreement.</w:t>
      </w:r>
    </w:p>
    <w:p>
      <w:pPr>
        <w:pStyle w:val="Normal"/>
        <w:ind w:start="-360" w:end="-475"/>
        <w:jc w:val="both"/>
        <w:rPr>
          <w:sz w:val="18"/>
        </w:rPr>
      </w:pPr>
      <w:r>
        <w:rPr>
          <w:sz w:val="18"/>
        </w:rPr>
      </w:r>
    </w:p>
    <w:p>
      <w:pPr>
        <w:pStyle w:val="Normal"/>
        <w:ind w:hanging="360" w:start="-360" w:end="-475"/>
        <w:jc w:val="both"/>
        <w:rPr>
          <w:sz w:val="18"/>
        </w:rPr>
      </w:pPr>
      <w:r>
        <w:rPr>
          <w:sz w:val="18"/>
        </w:rPr>
        <w:t>7.</w:t>
        <w:tab/>
        <w:t>In the event that Clearing Broker does not, for any reason, accept a trade transmitted to it by Executing Broker, Clearing Broker shall promptly notify Customer and Executing Broker of such non-acceptance, and Executing Broker, or its designated clearing broker if applicable, shall at its option be entitled:</w:t>
      </w:r>
    </w:p>
    <w:p>
      <w:pPr>
        <w:pStyle w:val="Normal"/>
        <w:ind w:hanging="450" w:start="-360" w:end="-475"/>
        <w:jc w:val="both"/>
        <w:rPr>
          <w:sz w:val="18"/>
        </w:rPr>
      </w:pPr>
      <w:r>
        <w:rPr>
          <w:sz w:val="18"/>
        </w:rPr>
      </w:r>
    </w:p>
    <w:p>
      <w:pPr>
        <w:pStyle w:val="Normal"/>
        <w:ind w:hanging="360" w:start="360" w:end="-475"/>
        <w:jc w:val="both"/>
        <w:rPr>
          <w:sz w:val="18"/>
        </w:rPr>
      </w:pPr>
      <w:r>
        <w:rPr>
          <w:sz w:val="18"/>
        </w:rPr>
        <w:t>(a)</w:t>
        <w:tab/>
        <w:t>to close out Customer’s trade by such sale, purchase, disposal or other cancellation transaction as Executing Broker may determine, whether on the market, by private contract or any other appropriate method.  Executing Broker shall promptly notify Customer of such close out.  Any balance resulting from such close out shall be promptly settled between Executing Broker and Customer; or</w:t>
      </w:r>
    </w:p>
    <w:p>
      <w:pPr>
        <w:pStyle w:val="Normal"/>
        <w:ind w:hanging="360" w:start="-360" w:end="-475"/>
        <w:jc w:val="both"/>
        <w:rPr>
          <w:sz w:val="18"/>
        </w:rPr>
      </w:pPr>
      <w:r>
        <w:rPr>
          <w:sz w:val="18"/>
        </w:rPr>
      </w:r>
    </w:p>
    <w:p>
      <w:pPr>
        <w:pStyle w:val="Normal"/>
        <w:ind w:hanging="360" w:start="360" w:end="-475"/>
        <w:jc w:val="both"/>
        <w:rPr>
          <w:sz w:val="18"/>
        </w:rPr>
      </w:pPr>
      <w:r>
        <w:rPr>
          <w:sz w:val="18"/>
        </w:rPr>
        <w:t>(b)</w:t>
        <w:tab/>
        <w:t>to transfer Customer’s trades to another clearing broker as instructed by Customer; or</w:t>
      </w:r>
    </w:p>
    <w:p>
      <w:pPr>
        <w:pStyle w:val="Normal"/>
        <w:ind w:hanging="360" w:start="-360" w:end="-475"/>
        <w:jc w:val="both"/>
        <w:rPr>
          <w:sz w:val="18"/>
        </w:rPr>
      </w:pPr>
      <w:r>
        <w:rPr>
          <w:sz w:val="18"/>
        </w:rPr>
      </w:r>
    </w:p>
    <w:p>
      <w:pPr>
        <w:pStyle w:val="Normal"/>
        <w:ind w:hanging="360" w:start="360" w:end="-475"/>
        <w:jc w:val="both"/>
        <w:rPr>
          <w:sz w:val="18"/>
        </w:rPr>
      </w:pPr>
      <w:r>
        <w:rPr>
          <w:sz w:val="18"/>
        </w:rPr>
        <w:t>(c)</w:t>
        <w:tab/>
        <w:t>to clear Customer’s trade in accordance with the following terms:</w:t>
      </w:r>
    </w:p>
    <w:p>
      <w:pPr>
        <w:pStyle w:val="Normal"/>
        <w:ind w:hanging="360" w:start="-360" w:end="-475"/>
        <w:jc w:val="both"/>
        <w:rPr>
          <w:sz w:val="18"/>
        </w:rPr>
      </w:pPr>
      <w:r>
        <w:rPr>
          <w:sz w:val="18"/>
        </w:rPr>
      </w:r>
    </w:p>
    <w:p>
      <w:pPr>
        <w:pStyle w:val="Normal"/>
        <w:numPr>
          <w:ilvl w:val="0"/>
          <w:numId w:val="2"/>
        </w:numPr>
        <w:ind w:hanging="360" w:start="1080" w:end="-475"/>
        <w:jc w:val="both"/>
        <w:rPr>
          <w:sz w:val="18"/>
        </w:rPr>
      </w:pPr>
      <w:r>
        <w:rPr>
          <w:sz w:val="18"/>
        </w:rPr>
        <w:t>Customer shall be fully liable for any and all obligations arising out of or related to transactions entered into or carried in Customer’s account by Executing Broker, including, but not limited to: 1) debit balances, 2) exchange or clearing house fees, and 3) brokerage, commissions, and applicable fees charged by Executing Broker;</w:t>
      </w:r>
    </w:p>
    <w:p>
      <w:pPr>
        <w:pStyle w:val="Normal"/>
        <w:numPr>
          <w:ilvl w:val="0"/>
          <w:numId w:val="0"/>
        </w:numPr>
        <w:ind w:hanging="360" w:start="-360" w:end="-475"/>
        <w:jc w:val="both"/>
        <w:rPr>
          <w:sz w:val="18"/>
        </w:rPr>
      </w:pPr>
      <w:r>
        <w:rPr>
          <w:sz w:val="18"/>
        </w:rPr>
      </w:r>
    </w:p>
    <w:p>
      <w:pPr>
        <w:pStyle w:val="Normal"/>
        <w:numPr>
          <w:ilvl w:val="0"/>
          <w:numId w:val="2"/>
        </w:numPr>
        <w:ind w:hanging="360" w:start="1080" w:end="-475"/>
        <w:jc w:val="both"/>
        <w:rPr>
          <w:sz w:val="18"/>
        </w:rPr>
      </w:pPr>
      <w:r>
        <w:rPr>
          <w:sz w:val="18"/>
        </w:rPr>
        <w:t>Executing Broker shall have the right to call Customer for margin in such amounts, in such form, by such time and in such manner as may be required by Executing Broker.  If Customer fails to meet such margin call within such specified time, or if Executing Broker, in its discretion, otherwise deems it appropriate for Executing Broker’s protection, Executing Broker may close out Customer’s trade pursuant to sub-paragraph (a) above;</w:t>
      </w:r>
    </w:p>
    <w:p>
      <w:pPr>
        <w:pStyle w:val="Normal"/>
        <w:numPr>
          <w:ilvl w:val="0"/>
          <w:numId w:val="0"/>
        </w:numPr>
        <w:ind w:firstLine="437" w:start="-360" w:end="-475"/>
        <w:jc w:val="both"/>
        <w:rPr>
          <w:sz w:val="18"/>
        </w:rPr>
      </w:pPr>
      <w:r>
        <w:rPr>
          <w:sz w:val="18"/>
        </w:rPr>
      </w:r>
    </w:p>
    <w:p>
      <w:pPr>
        <w:pStyle w:val="Normal"/>
        <w:numPr>
          <w:ilvl w:val="0"/>
          <w:numId w:val="2"/>
        </w:numPr>
        <w:ind w:hanging="360" w:start="1080" w:end="-475"/>
        <w:jc w:val="both"/>
        <w:rPr>
          <w:sz w:val="18"/>
        </w:rPr>
      </w:pPr>
      <w:r>
        <w:rPr>
          <w:sz w:val="18"/>
        </w:rPr>
        <w:t>Customer acknowledges that Customer’s trades may be subject to exercise or delivery assignments, where applicable.</w:t>
      </w:r>
    </w:p>
    <w:p>
      <w:pPr>
        <w:pStyle w:val="Normal"/>
        <w:ind w:start="-360" w:end="-475"/>
        <w:jc w:val="both"/>
        <w:rPr>
          <w:sz w:val="18"/>
        </w:rPr>
      </w:pPr>
      <w:r>
        <w:rPr>
          <w:sz w:val="18"/>
        </w:rPr>
      </w:r>
    </w:p>
    <w:p>
      <w:pPr>
        <w:pStyle w:val="Normal"/>
        <w:ind w:hanging="360" w:start="-360" w:end="-475"/>
        <w:jc w:val="both"/>
        <w:rPr>
          <w:sz w:val="18"/>
        </w:rPr>
      </w:pPr>
      <w:r>
        <w:rPr>
          <w:sz w:val="18"/>
        </w:rPr>
        <w:t>8.</w:t>
        <w:tab/>
        <w:t>Customer acknowledges that all notices and disclosures that are provided by Clearing Broker to Customer (or Customer’s representative) pursuant to Applicable Law, will be deemed, for purposes of Section 7 of this Agreement, as if received by Customer from Executing Broker as well as from Clearing Broker.  Clearing Broker represents, warrants and covenants to Executing Broker that it has provided, and will provide, all required notices and disclosures to Customer (or Customer’s representative).</w:t>
      </w:r>
    </w:p>
    <w:p>
      <w:pPr>
        <w:pStyle w:val="Normal"/>
        <w:ind w:hanging="432" w:start="-360" w:end="-475"/>
        <w:jc w:val="both"/>
        <w:rPr>
          <w:sz w:val="18"/>
        </w:rPr>
      </w:pPr>
      <w:r>
        <w:rPr>
          <w:sz w:val="18"/>
        </w:rPr>
      </w:r>
    </w:p>
    <w:p>
      <w:pPr>
        <w:pStyle w:val="Normal"/>
        <w:ind w:hanging="360" w:start="-360" w:end="-475"/>
        <w:jc w:val="both"/>
        <w:rPr>
          <w:sz w:val="18"/>
        </w:rPr>
      </w:pPr>
      <w:r>
        <w:rPr>
          <w:sz w:val="18"/>
        </w:rPr>
        <w:t>9.</w:t>
        <w:tab/>
        <w:t>This Agreement may be terminated by any of the parties hereto upon prior written notice to the other parties.  Any such termination shall have no effect upon any party’s rights and obligations arising out of transactions executed prior to such termination.</w:t>
      </w:r>
    </w:p>
    <w:p>
      <w:pPr>
        <w:pStyle w:val="Normal"/>
        <w:ind w:hanging="432" w:start="-360" w:end="-475"/>
        <w:jc w:val="both"/>
        <w:rPr>
          <w:sz w:val="18"/>
        </w:rPr>
      </w:pPr>
      <w:r>
        <w:rPr>
          <w:sz w:val="18"/>
        </w:rPr>
      </w:r>
    </w:p>
    <w:p>
      <w:pPr>
        <w:pStyle w:val="Normal"/>
        <w:ind w:hanging="432" w:start="-360" w:end="-475"/>
        <w:jc w:val="both"/>
        <w:rPr/>
      </w:pPr>
      <w:r>
        <w:rPr>
          <w:sz w:val="18"/>
        </w:rPr>
        <w:t>10.</w:t>
        <w:tab/>
        <w:t xml:space="preserve">This Agreement shall be exclusively governed by, and construed in accordance with the </w:t>
      </w:r>
      <w:r>
        <w:rPr>
          <w:i/>
          <w:sz w:val="18"/>
        </w:rPr>
        <w:t xml:space="preserve">laws of England </w:t>
      </w:r>
      <w:r>
        <w:rPr>
          <w:sz w:val="18"/>
        </w:rPr>
        <w:t>without regard to principles of choice of law.</w:t>
      </w:r>
    </w:p>
    <w:p>
      <w:pPr>
        <w:pStyle w:val="Normal"/>
        <w:ind w:hanging="360" w:start="-360" w:end="-475"/>
        <w:jc w:val="both"/>
        <w:rPr>
          <w:sz w:val="18"/>
        </w:rPr>
      </w:pPr>
      <w:r>
        <w:rPr>
          <w:sz w:val="18"/>
        </w:rPr>
      </w:r>
    </w:p>
    <w:p>
      <w:pPr>
        <w:pStyle w:val="Normal"/>
        <w:numPr>
          <w:ilvl w:val="0"/>
          <w:numId w:val="1"/>
        </w:numPr>
        <w:tabs>
          <w:tab w:val="clear" w:pos="720"/>
          <w:tab w:val="left" w:pos="-630" w:leader="none"/>
        </w:tabs>
        <w:ind w:hanging="360" w:start="-360" w:end="-475"/>
        <w:jc w:val="both"/>
        <w:rPr>
          <w:sz w:val="18"/>
        </w:rPr>
      </w:pPr>
      <w:r>
        <w:rPr>
          <w:sz w:val="18"/>
        </w:rPr>
        <w:t>This Agreement shall not amend or vary any clearing agreement between Clearing Broker and Customer or Executing Broker and Customer.  In the event of a conflict between this Agreement and such other clearing agreement with respect to the clearing or carrying of Customer’s trades, such other clearing agreement will control with respect thereto.</w:t>
      </w:r>
    </w:p>
    <w:p>
      <w:pPr>
        <w:pStyle w:val="Normal"/>
        <w:numPr>
          <w:ilvl w:val="0"/>
          <w:numId w:val="0"/>
        </w:numPr>
        <w:tabs>
          <w:tab w:val="clear" w:pos="720"/>
          <w:tab w:val="left" w:pos="-630" w:leader="none"/>
        </w:tabs>
        <w:ind w:hanging="0" w:start="-720" w:end="-475"/>
        <w:jc w:val="both"/>
        <w:rPr>
          <w:sz w:val="18"/>
        </w:rPr>
      </w:pPr>
      <w:r>
        <w:rPr>
          <w:sz w:val="18"/>
        </w:rPr>
      </w:r>
    </w:p>
    <w:p>
      <w:pPr>
        <w:pStyle w:val="Normal"/>
        <w:numPr>
          <w:ilvl w:val="0"/>
          <w:numId w:val="1"/>
        </w:numPr>
        <w:tabs>
          <w:tab w:val="clear" w:pos="720"/>
          <w:tab w:val="left" w:pos="-630" w:leader="none"/>
        </w:tabs>
        <w:ind w:hanging="360" w:start="-360" w:end="-475"/>
        <w:jc w:val="both"/>
        <w:rPr>
          <w:sz w:val="18"/>
        </w:rPr>
      </w:pPr>
      <w:r>
        <w:rPr>
          <w:sz w:val="18"/>
        </w:rPr>
        <w:t>Executing Broker will, where applicable, bill commissions at rates                                          per contract per half turn to:</w:t>
      </w:r>
    </w:p>
    <w:p>
      <w:pPr>
        <w:pStyle w:val="Normal"/>
        <w:ind w:start="-360" w:end="0"/>
        <w:rPr>
          <w:sz w:val="18"/>
        </w:rPr>
      </w:pPr>
      <w:r>
        <w:rPr>
          <w:i/>
          <w:sz w:val="18"/>
        </w:rPr>
        <w:tab/>
      </w:r>
    </w:p>
    <w:p>
      <w:pPr>
        <w:pStyle w:val="Normal"/>
        <w:ind w:hanging="432" w:start="-360" w:end="-475"/>
        <w:jc w:val="both"/>
        <w:rPr>
          <w:i/>
          <w:i/>
          <w:sz w:val="18"/>
        </w:rPr>
      </w:pPr>
      <w:r>
        <w:rPr>
          <w:sz w:val="18"/>
        </w:rPr>
        <w:tab/>
        <w:t>[   ] Customer</w:t>
        <w:tab/>
        <w:tab/>
        <w:t>[    ] Clearing Broker</w:t>
        <w:tab/>
      </w:r>
    </w:p>
    <w:p>
      <w:pPr>
        <w:pStyle w:val="Normal"/>
        <w:ind w:hanging="432" w:start="-360" w:end="-475"/>
        <w:jc w:val="both"/>
        <w:rPr>
          <w:i/>
          <w:i/>
          <w:sz w:val="18"/>
        </w:rPr>
      </w:pPr>
      <w:r>
        <w:rPr>
          <w:i/>
          <w:sz w:val="18"/>
        </w:rPr>
      </w:r>
    </w:p>
    <w:p>
      <w:pPr>
        <w:pStyle w:val="BlockText"/>
        <w:rPr/>
      </w:pPr>
      <w:r>
        <w:rPr/>
        <w:t>IN WITNESS WHEREOF, the parties hereto have caused this Agreement to be duly executed and delivered by their respective authorized officers as of the date set forth above.</w:t>
      </w:r>
    </w:p>
    <w:p>
      <w:pPr>
        <w:pStyle w:val="Normal"/>
        <w:tabs>
          <w:tab w:val="clear" w:pos="720"/>
          <w:tab w:val="left" w:pos="4500" w:leader="none"/>
          <w:tab w:val="left" w:pos="9360" w:leader="underscore"/>
        </w:tabs>
        <w:ind w:hanging="432" w:start="-360" w:end="-475"/>
        <w:jc w:val="both"/>
        <w:rPr>
          <w:sz w:val="18"/>
        </w:rPr>
      </w:pPr>
      <w:r>
        <w:rPr>
          <w:sz w:val="18"/>
        </w:rPr>
        <w:tab/>
      </w:r>
    </w:p>
    <w:p>
      <w:pPr>
        <w:pStyle w:val="Normal"/>
        <w:ind w:start="-360" w:end="-475"/>
        <w:jc w:val="both"/>
        <w:rPr>
          <w:sz w:val="18"/>
          <w:u w:val="single"/>
        </w:rPr>
      </w:pPr>
      <w:r>
        <w:rPr>
          <w:sz w:val="18"/>
          <w:u w:val="single"/>
        </w:rPr>
      </w:r>
    </w:p>
    <w:p>
      <w:pPr>
        <w:pStyle w:val="Normal"/>
        <w:tabs>
          <w:tab w:val="clear" w:pos="720"/>
          <w:tab w:val="left" w:pos="4500" w:leader="none"/>
          <w:tab w:val="left" w:pos="8370" w:leader="none"/>
          <w:tab w:val="left" w:pos="9360" w:leader="underscore"/>
        </w:tabs>
        <w:ind w:hanging="432" w:start="-360" w:end="-475"/>
        <w:jc w:val="both"/>
        <w:rPr>
          <w:sz w:val="18"/>
          <w:u w:val="single"/>
        </w:rPr>
      </w:pPr>
      <w:r>
        <w:rPr>
          <w:sz w:val="18"/>
        </w:rPr>
        <w:tab/>
        <w:tab/>
      </w:r>
    </w:p>
    <w:p>
      <w:pPr>
        <w:pStyle w:val="Normal"/>
        <w:tabs>
          <w:tab w:val="clear" w:pos="720"/>
          <w:tab w:val="left" w:pos="4500" w:leader="none"/>
          <w:tab w:val="left" w:pos="9360" w:leader="underscore"/>
        </w:tabs>
        <w:ind w:start="-360" w:end="-475"/>
        <w:jc w:val="both"/>
        <w:rPr>
          <w:sz w:val="18"/>
        </w:rPr>
      </w:pPr>
      <w:r>
        <w:rPr>
          <w:sz w:val="18"/>
        </w:rPr>
        <w:t>[Name of Customer]</w:t>
        <w:tab/>
        <w:t>[Name of Clearing Broker]</w:t>
      </w:r>
    </w:p>
    <w:p>
      <w:pPr>
        <w:pStyle w:val="Normal"/>
        <w:tabs>
          <w:tab w:val="clear" w:pos="720"/>
          <w:tab w:val="left" w:pos="4500" w:leader="none"/>
          <w:tab w:val="left" w:pos="5220" w:leader="none"/>
          <w:tab w:val="left" w:pos="9360" w:leader="underscore"/>
        </w:tabs>
        <w:ind w:hanging="432" w:start="-360" w:end="-475"/>
        <w:jc w:val="both"/>
        <w:rPr>
          <w:sz w:val="18"/>
        </w:rPr>
      </w:pPr>
      <w:r>
        <w:rPr>
          <w:sz w:val="18"/>
        </w:rPr>
      </w:r>
    </w:p>
    <w:p>
      <w:pPr>
        <w:pStyle w:val="Normal"/>
        <w:tabs>
          <w:tab w:val="clear" w:pos="720"/>
          <w:tab w:val="left" w:pos="4500" w:leader="none"/>
          <w:tab w:val="left" w:pos="5220" w:leader="none"/>
          <w:tab w:val="left" w:pos="9360" w:leader="underscore"/>
        </w:tabs>
        <w:ind w:hanging="432" w:start="-360" w:end="-475"/>
        <w:jc w:val="both"/>
        <w:rPr>
          <w:sz w:val="18"/>
        </w:rPr>
      </w:pPr>
      <w:r>
        <w:rPr>
          <w:sz w:val="18"/>
        </w:rPr>
        <w:tab/>
        <w:t xml:space="preserve">By:_____________________________________ </w:t>
        <w:tab/>
        <w:t>By:___________________________________</w:t>
      </w:r>
    </w:p>
    <w:p>
      <w:pPr>
        <w:pStyle w:val="Normal"/>
        <w:tabs>
          <w:tab w:val="clear" w:pos="720"/>
          <w:tab w:val="left" w:pos="4500" w:leader="none"/>
          <w:tab w:val="left" w:pos="5220" w:leader="none"/>
          <w:tab w:val="left" w:pos="9360" w:leader="underscore"/>
        </w:tabs>
        <w:ind w:hanging="432" w:start="-360" w:end="-475"/>
        <w:jc w:val="both"/>
        <w:rPr>
          <w:sz w:val="18"/>
        </w:rPr>
      </w:pPr>
      <w:r>
        <w:rPr>
          <w:sz w:val="18"/>
        </w:rPr>
      </w:r>
    </w:p>
    <w:p>
      <w:pPr>
        <w:pStyle w:val="Normal"/>
        <w:tabs>
          <w:tab w:val="clear" w:pos="720"/>
          <w:tab w:val="left" w:pos="4500" w:leader="none"/>
          <w:tab w:val="left" w:pos="5220" w:leader="none"/>
          <w:tab w:val="left" w:pos="9360" w:leader="underscore"/>
        </w:tabs>
        <w:ind w:hanging="432" w:start="-360" w:end="-475"/>
        <w:jc w:val="both"/>
        <w:rPr>
          <w:sz w:val="18"/>
        </w:rPr>
      </w:pPr>
      <w:r>
        <w:rPr>
          <w:sz w:val="18"/>
        </w:rPr>
        <w:tab/>
        <w:t>________________________________________</w:t>
        <w:tab/>
        <w:t>______________________________________</w:t>
      </w:r>
    </w:p>
    <w:p>
      <w:pPr>
        <w:pStyle w:val="Normal"/>
        <w:tabs>
          <w:tab w:val="clear" w:pos="720"/>
          <w:tab w:val="left" w:pos="4500" w:leader="none"/>
          <w:tab w:val="left" w:pos="5220" w:leader="none"/>
          <w:tab w:val="left" w:pos="9360" w:leader="underscore"/>
        </w:tabs>
        <w:ind w:hanging="432" w:start="-360" w:end="-475"/>
        <w:jc w:val="both"/>
        <w:rPr>
          <w:sz w:val="18"/>
        </w:rPr>
      </w:pPr>
      <w:r>
        <w:rPr>
          <w:sz w:val="18"/>
        </w:rPr>
        <w:tab/>
        <w:t>[Print Name and Title]</w:t>
        <w:tab/>
        <w:t xml:space="preserve">[Print Name and Title] </w:t>
      </w:r>
    </w:p>
    <w:p>
      <w:pPr>
        <w:pStyle w:val="Normal"/>
        <w:tabs>
          <w:tab w:val="clear" w:pos="720"/>
          <w:tab w:val="left" w:pos="4500" w:leader="underscore"/>
          <w:tab w:val="left" w:pos="5220" w:leader="none"/>
          <w:tab w:val="left" w:pos="9360" w:leader="underscore"/>
        </w:tabs>
        <w:ind w:hanging="432" w:start="-360" w:end="-475"/>
        <w:jc w:val="both"/>
        <w:rPr>
          <w:sz w:val="18"/>
          <w:u w:val="single"/>
        </w:rPr>
      </w:pPr>
      <w:r>
        <w:rPr>
          <w:sz w:val="18"/>
          <w:u w:val="single"/>
        </w:rPr>
      </w:r>
    </w:p>
    <w:p>
      <w:pPr>
        <w:pStyle w:val="Normal"/>
        <w:tabs>
          <w:tab w:val="clear" w:pos="720"/>
          <w:tab w:val="left" w:pos="5220" w:leader="none"/>
          <w:tab w:val="left" w:pos="8190" w:leader="none"/>
          <w:tab w:val="left" w:pos="9180" w:leader="none"/>
        </w:tabs>
        <w:ind w:hanging="432" w:start="-360" w:end="-475"/>
        <w:jc w:val="both"/>
        <w:rPr>
          <w:sz w:val="18"/>
          <w:u w:val="single"/>
        </w:rPr>
      </w:pPr>
      <w:r>
        <w:rPr>
          <w:sz w:val="18"/>
        </w:rPr>
        <w:tab/>
      </w:r>
    </w:p>
    <w:p>
      <w:pPr>
        <w:pStyle w:val="Normal"/>
        <w:tabs>
          <w:tab w:val="clear" w:pos="720"/>
          <w:tab w:val="left" w:pos="4500" w:leader="underscore"/>
          <w:tab w:val="left" w:pos="5220" w:leader="none"/>
          <w:tab w:val="left" w:pos="9360" w:leader="underscore"/>
        </w:tabs>
        <w:ind w:hanging="432" w:start="-360" w:end="-475"/>
        <w:jc w:val="both"/>
        <w:rPr>
          <w:sz w:val="18"/>
        </w:rPr>
      </w:pPr>
      <w:r>
        <w:rPr>
          <w:sz w:val="18"/>
        </w:rPr>
        <w:tab/>
        <w:t>[Name of Executing Broker]</w:t>
      </w:r>
    </w:p>
    <w:p>
      <w:pPr>
        <w:pStyle w:val="Normal"/>
        <w:tabs>
          <w:tab w:val="clear" w:pos="720"/>
          <w:tab w:val="left" w:pos="4500" w:leader="underscore"/>
          <w:tab w:val="left" w:pos="5220" w:leader="none"/>
          <w:tab w:val="left" w:pos="9360" w:leader="underscore"/>
        </w:tabs>
        <w:ind w:hanging="432" w:start="-360" w:end="-475"/>
        <w:jc w:val="both"/>
        <w:rPr>
          <w:sz w:val="18"/>
        </w:rPr>
      </w:pPr>
      <w:r>
        <w:rPr>
          <w:sz w:val="18"/>
        </w:rPr>
      </w:r>
    </w:p>
    <w:p>
      <w:pPr>
        <w:pStyle w:val="Normal"/>
        <w:tabs>
          <w:tab w:val="clear" w:pos="720"/>
          <w:tab w:val="left" w:pos="4500" w:leader="underscore"/>
          <w:tab w:val="left" w:pos="5220" w:leader="none"/>
          <w:tab w:val="left" w:pos="9360" w:leader="underscore"/>
        </w:tabs>
        <w:ind w:hanging="432" w:start="-360" w:end="-475"/>
        <w:jc w:val="both"/>
        <w:rPr>
          <w:sz w:val="18"/>
        </w:rPr>
      </w:pPr>
      <w:r>
        <w:rPr>
          <w:sz w:val="18"/>
        </w:rPr>
        <w:tab/>
        <w:t>By: _____________________________________</w:t>
      </w:r>
    </w:p>
    <w:p>
      <w:pPr>
        <w:pStyle w:val="Normal"/>
        <w:tabs>
          <w:tab w:val="clear" w:pos="720"/>
          <w:tab w:val="left" w:pos="4500" w:leader="underscore"/>
          <w:tab w:val="left" w:pos="5220" w:leader="none"/>
          <w:tab w:val="left" w:pos="9360" w:leader="underscore"/>
        </w:tabs>
        <w:ind w:hanging="432" w:start="-360" w:end="-475"/>
        <w:jc w:val="both"/>
        <w:rPr>
          <w:sz w:val="18"/>
        </w:rPr>
      </w:pPr>
      <w:r>
        <w:rPr>
          <w:sz w:val="18"/>
        </w:rPr>
      </w:r>
    </w:p>
    <w:p>
      <w:pPr>
        <w:pStyle w:val="Normal"/>
        <w:tabs>
          <w:tab w:val="clear" w:pos="720"/>
          <w:tab w:val="left" w:pos="4500" w:leader="underscore"/>
          <w:tab w:val="left" w:pos="5220" w:leader="none"/>
          <w:tab w:val="left" w:pos="9360" w:leader="underscore"/>
        </w:tabs>
        <w:ind w:hanging="432" w:start="-360" w:end="-475"/>
        <w:jc w:val="both"/>
        <w:rPr>
          <w:sz w:val="18"/>
        </w:rPr>
      </w:pPr>
      <w:r>
        <w:rPr>
          <w:sz w:val="18"/>
        </w:rPr>
        <w:tab/>
        <w:t>________________________________________</w:t>
      </w:r>
    </w:p>
    <w:p>
      <w:pPr>
        <w:pStyle w:val="Normal"/>
        <w:tabs>
          <w:tab w:val="clear" w:pos="720"/>
          <w:tab w:val="left" w:pos="4500" w:leader="underscore"/>
          <w:tab w:val="left" w:pos="5220" w:leader="none"/>
          <w:tab w:val="left" w:pos="9360" w:leader="underscore"/>
        </w:tabs>
        <w:ind w:hanging="432" w:start="-360" w:end="-475"/>
        <w:jc w:val="both"/>
        <w:rPr>
          <w:sz w:val="18"/>
        </w:rPr>
      </w:pPr>
      <w:r>
        <w:rPr>
          <w:sz w:val="18"/>
        </w:rPr>
        <w:tab/>
        <w:t>[Print Name and Title)</w:t>
      </w:r>
    </w:p>
    <w:sectPr>
      <w:headerReference w:type="default" r:id="rId2"/>
      <w:footnotePr>
        <w:numFmt w:val="decimal"/>
      </w:footnotePr>
      <w:type w:val="nextPage"/>
      <w:pgSz w:w="11906" w:h="16838"/>
      <w:pgMar w:left="1152" w:right="1152" w:gutter="0" w:header="70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6"/>
        </w:rPr>
        <w:t>The International Uniform Brokerage Agreement was prepared in consultation with the FIA, FOA and MFA.  Any changes or additions to the wording of this standard document are indicated in italics.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drawing>
        <wp:inline distT="0" distB="0" distL="0" distR="0">
          <wp:extent cx="638810" cy="6318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41" t="-41" r="-41" b="-41"/>
                  <a:stretch>
                    <a:fillRect/>
                  </a:stretch>
                </pic:blipFill>
                <pic:spPr bwMode="auto">
                  <a:xfrm>
                    <a:off x="0" y="0"/>
                    <a:ext cx="638810" cy="63182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decimal"/>
      <w:lvlText w:val="%1. "/>
      <w:lvlJc w:val="start"/>
      <w:pPr>
        <w:tabs>
          <w:tab w:val="num" w:pos="283"/>
        </w:tabs>
        <w:ind w:start="437" w:hanging="283"/>
      </w:pPr>
      <w:rPr>
        <w:sz w:val="18"/>
        <w:i w:val="false"/>
        <w:u w:val="none"/>
        <w:b w:val="false"/>
        <w:rFonts w:ascii="Arial" w:hAnsi="Arial" w:cs="Arial"/>
      </w:rPr>
    </w:lvl>
  </w:abstractNum>
  <w:abstractNum w:abstractNumId="2">
    <w:lvl w:ilvl="0">
      <w:start w:val="1"/>
      <w:numFmt w:val="lowerRoman"/>
      <w:lvlText w:val="%1."/>
      <w:lvlJc w:val="start"/>
      <w:pPr>
        <w:tabs>
          <w:tab w:val="num" w:pos="283"/>
        </w:tabs>
        <w:ind w:start="1003" w:hanging="283"/>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bidi="ar-SA" w:eastAsia="zh-CN"/>
    </w:rPr>
  </w:style>
  <w:style w:type="character" w:styleId="WW8Num1z0">
    <w:name w:val="WW8Num1z0"/>
    <w:qFormat/>
    <w:rPr>
      <w:rFonts w:ascii="Arial" w:hAnsi="Arial" w:cs="Arial"/>
      <w:b w:val="false"/>
      <w:i w:val="false"/>
      <w:sz w:val="18"/>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z w:val="20"/>
    </w:rPr>
  </w:style>
  <w:style w:type="paragraph" w:styleId="BlockText">
    <w:name w:val="Block Text"/>
    <w:basedOn w:val="Normal"/>
    <w:qFormat/>
    <w:pPr>
      <w:ind w:hanging="0" w:start="-360" w:end="-475"/>
      <w:jc w:val="both"/>
    </w:pPr>
    <w:rPr>
      <w:sz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2001-01-02T06:29:00Z</dcterms:created>
  <dc:creator>Authorized User</dc:creator>
  <dc:description>Created 20-Jul-95</dc:description>
  <cp:keywords>MAM Mercury Salomon</cp:keywords>
  <dc:language>en-CA</dc:language>
  <cp:lastModifiedBy>Authorized User</cp:lastModifiedBy>
  <cp:lastPrinted>2001-05-10T09:31:00Z</cp:lastPrinted>
  <dcterms:modified xsi:type="dcterms:W3CDTF">2001-10-24T10:48:00Z</dcterms:modified>
  <cp:revision>21</cp:revision>
  <dc:subject>give-up agreement</dc:subject>
  <dc:title>MAM Salomon</dc:title>
</cp:coreProperties>
</file>