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spacing w:before="0" w:after="480"/>
        <w:jc w:val="center"/>
        <w:outlineLvl w:val="0"/>
        <w:rPr/>
      </w:pPr>
      <w:r>
        <w:rPr/>
        <w:t>Proposed Terms of Preferred Stock to be Issued by Gipper Sub II</w:t>
      </w:r>
    </w:p>
    <w:tbl>
      <w:tblPr>
        <w:tblW w:w="9835" w:type="dxa"/>
        <w:jc w:val="start"/>
        <w:tblInd w:w="173" w:type="dxa"/>
        <w:tblLayout w:type="fixed"/>
        <w:tblCellMar>
          <w:top w:w="0" w:type="dxa"/>
          <w:start w:w="108" w:type="dxa"/>
          <w:bottom w:w="0" w:type="dxa"/>
          <w:end w:w="108" w:type="dxa"/>
        </w:tblCellMar>
      </w:tblPr>
      <w:tblGrid>
        <w:gridCol w:w="3535"/>
        <w:gridCol w:w="2786"/>
        <w:gridCol w:w="263"/>
        <w:gridCol w:w="1617"/>
        <w:gridCol w:w="284"/>
        <w:gridCol w:w="990"/>
        <w:gridCol w:w="360"/>
      </w:tblGrid>
      <w:tr>
        <w:trPr/>
        <w:tc>
          <w:tcPr>
            <w:tcW w:w="3535" w:type="dxa"/>
            <w:tcBorders/>
          </w:tcPr>
          <w:p>
            <w:pPr>
              <w:pStyle w:val="Normal"/>
              <w:rPr>
                <w:b/>
                <w:i/>
                <w:i/>
              </w:rPr>
            </w:pPr>
            <w:r>
              <w:rPr>
                <w:b/>
                <w:i/>
              </w:rPr>
              <w:t>Amount to be Raised:</w:t>
            </w:r>
          </w:p>
        </w:tc>
        <w:tc>
          <w:tcPr>
            <w:tcW w:w="6300" w:type="dxa"/>
            <w:gridSpan w:val="6"/>
            <w:tcBorders/>
          </w:tcPr>
          <w:p>
            <w:pPr>
              <w:pStyle w:val="Date"/>
              <w:rPr>
                <w:i/>
                <w:i/>
              </w:rPr>
            </w:pPr>
            <w:r>
              <w:rPr/>
              <w:t>$[500,000,000]</w:t>
            </w:r>
          </w:p>
          <w:p>
            <w:pPr>
              <w:pStyle w:val="Normal"/>
              <w:rPr>
                <w:i/>
                <w:i/>
              </w:rPr>
            </w:pPr>
            <w:r>
              <w:rPr>
                <w:i/>
              </w:rPr>
            </w:r>
          </w:p>
        </w:tc>
      </w:tr>
      <w:tr>
        <w:trPr>
          <w:trHeight w:val="540" w:hRule="atLeast"/>
        </w:trPr>
        <w:tc>
          <w:tcPr>
            <w:tcW w:w="3535" w:type="dxa"/>
            <w:tcBorders/>
          </w:tcPr>
          <w:p>
            <w:pPr>
              <w:pStyle w:val="Normal"/>
              <w:rPr>
                <w:b/>
                <w:i/>
                <w:i/>
              </w:rPr>
            </w:pPr>
            <w:r>
              <w:rPr>
                <w:b/>
                <w:i/>
              </w:rPr>
              <w:t>Type of Security:</w:t>
            </w:r>
          </w:p>
        </w:tc>
        <w:tc>
          <w:tcPr>
            <w:tcW w:w="6300" w:type="dxa"/>
            <w:gridSpan w:val="6"/>
            <w:tcBorders/>
          </w:tcPr>
          <w:p>
            <w:pPr>
              <w:pStyle w:val="Normal"/>
              <w:jc w:val="start"/>
              <w:rPr/>
            </w:pPr>
            <w:r>
              <w:rPr/>
              <w:t>Series A Convertible Preferred Stock (“</w:t>
            </w:r>
            <w:r>
              <w:rPr>
                <w:u w:val="single"/>
              </w:rPr>
              <w:t>Series A Preferred</w:t>
            </w:r>
            <w:r>
              <w:rPr/>
              <w:t>”).</w:t>
            </w:r>
          </w:p>
          <w:p>
            <w:pPr>
              <w:pStyle w:val="Normal"/>
              <w:rPr/>
            </w:pPr>
            <w:r>
              <w:rPr/>
            </w:r>
          </w:p>
        </w:tc>
      </w:tr>
      <w:tr>
        <w:trPr/>
        <w:tc>
          <w:tcPr>
            <w:tcW w:w="3535" w:type="dxa"/>
            <w:tcBorders/>
          </w:tcPr>
          <w:p>
            <w:pPr>
              <w:pStyle w:val="Normal"/>
              <w:rPr>
                <w:b/>
                <w:i/>
                <w:i/>
              </w:rPr>
            </w:pPr>
            <w:r>
              <w:rPr>
                <w:b/>
                <w:i/>
              </w:rPr>
              <w:t>Number of Shares:</w:t>
            </w:r>
          </w:p>
        </w:tc>
        <w:tc>
          <w:tcPr>
            <w:tcW w:w="6300" w:type="dxa"/>
            <w:gridSpan w:val="6"/>
            <w:tcBorders/>
          </w:tcPr>
          <w:p>
            <w:pPr>
              <w:pStyle w:val="Normal"/>
              <w:rPr/>
            </w:pPr>
            <w:r>
              <w:rPr/>
              <w:t>1,000</w:t>
            </w:r>
          </w:p>
          <w:p>
            <w:pPr>
              <w:pStyle w:val="Normal"/>
              <w:rPr>
                <w:i/>
                <w:i/>
              </w:rPr>
            </w:pPr>
            <w:r>
              <w:rPr>
                <w:i/>
              </w:rPr>
            </w:r>
          </w:p>
        </w:tc>
      </w:tr>
      <w:tr>
        <w:trPr/>
        <w:tc>
          <w:tcPr>
            <w:tcW w:w="3535" w:type="dxa"/>
            <w:tcBorders/>
          </w:tcPr>
          <w:p>
            <w:pPr>
              <w:pStyle w:val="Normal"/>
              <w:rPr>
                <w:b/>
                <w:i/>
                <w:i/>
              </w:rPr>
            </w:pPr>
            <w:r>
              <w:rPr>
                <w:b/>
                <w:i/>
              </w:rPr>
              <w:t>Purchase Price:</w:t>
            </w:r>
          </w:p>
        </w:tc>
        <w:tc>
          <w:tcPr>
            <w:tcW w:w="6300" w:type="dxa"/>
            <w:gridSpan w:val="6"/>
            <w:tcBorders/>
          </w:tcPr>
          <w:p>
            <w:pPr>
              <w:pStyle w:val="Normal"/>
              <w:rPr/>
            </w:pPr>
            <w:r>
              <w:rPr/>
              <w:t>$[500,000] per share (the “</w:t>
            </w:r>
            <w:r>
              <w:rPr>
                <w:u w:val="single"/>
              </w:rPr>
              <w:t>Purchase Price</w:t>
            </w:r>
            <w:r>
              <w:rPr/>
              <w:t>”).</w:t>
            </w:r>
          </w:p>
          <w:p>
            <w:pPr>
              <w:pStyle w:val="Normal"/>
              <w:rPr/>
            </w:pPr>
            <w:r>
              <w:rPr/>
            </w:r>
          </w:p>
        </w:tc>
      </w:tr>
      <w:tr>
        <w:trPr/>
        <w:tc>
          <w:tcPr>
            <w:tcW w:w="3535" w:type="dxa"/>
            <w:tcBorders/>
          </w:tcPr>
          <w:p>
            <w:pPr>
              <w:pStyle w:val="Normal"/>
              <w:rPr>
                <w:b/>
                <w:i/>
                <w:i/>
              </w:rPr>
            </w:pPr>
            <w:r>
              <w:rPr>
                <w:b/>
                <w:i/>
              </w:rPr>
              <w:t>Current Shareholders:</w:t>
            </w:r>
          </w:p>
        </w:tc>
        <w:tc>
          <w:tcPr>
            <w:tcW w:w="2786" w:type="dxa"/>
            <w:tcBorders>
              <w:bottom w:val="single" w:sz="4" w:space="0" w:color="000000"/>
            </w:tcBorders>
          </w:tcPr>
          <w:p>
            <w:pPr>
              <w:pStyle w:val="Normal"/>
              <w:snapToGrid w:val="false"/>
              <w:jc w:val="center"/>
              <w:rPr>
                <w:b/>
                <w:i/>
                <w:i/>
              </w:rPr>
            </w:pPr>
            <w:r>
              <w:rPr>
                <w:b/>
                <w:i/>
              </w:rPr>
            </w:r>
          </w:p>
          <w:p>
            <w:pPr>
              <w:pStyle w:val="Normal"/>
              <w:jc w:val="center"/>
              <w:rPr/>
            </w:pPr>
            <w:r>
              <w:rPr/>
              <w:t>Name</w:t>
            </w:r>
          </w:p>
        </w:tc>
        <w:tc>
          <w:tcPr>
            <w:tcW w:w="263" w:type="dxa"/>
            <w:tcBorders/>
          </w:tcPr>
          <w:p>
            <w:pPr>
              <w:pStyle w:val="Normal"/>
              <w:snapToGrid w:val="false"/>
              <w:rPr/>
            </w:pPr>
            <w:r>
              <w:rPr/>
            </w:r>
          </w:p>
        </w:tc>
        <w:tc>
          <w:tcPr>
            <w:tcW w:w="1617" w:type="dxa"/>
            <w:tcBorders>
              <w:bottom w:val="single" w:sz="6" w:space="0" w:color="000000"/>
            </w:tcBorders>
          </w:tcPr>
          <w:p>
            <w:pPr>
              <w:pStyle w:val="Normal"/>
              <w:jc w:val="center"/>
              <w:rPr/>
            </w:pPr>
            <w:r>
              <w:rPr/>
              <w:t>Type of</w:t>
            </w:r>
          </w:p>
          <w:p>
            <w:pPr>
              <w:pStyle w:val="Normal"/>
              <w:jc w:val="center"/>
              <w:rPr/>
            </w:pPr>
            <w:r>
              <w:rPr/>
              <w:t>Share</w:t>
            </w:r>
          </w:p>
        </w:tc>
        <w:tc>
          <w:tcPr>
            <w:tcW w:w="284" w:type="dxa"/>
            <w:tcBorders/>
          </w:tcPr>
          <w:p>
            <w:pPr>
              <w:pStyle w:val="Normal"/>
              <w:snapToGrid w:val="false"/>
              <w:rPr/>
            </w:pPr>
            <w:r>
              <w:rPr/>
            </w:r>
          </w:p>
        </w:tc>
        <w:tc>
          <w:tcPr>
            <w:tcW w:w="1350" w:type="dxa"/>
            <w:gridSpan w:val="2"/>
            <w:tcBorders>
              <w:bottom w:val="single" w:sz="6" w:space="0" w:color="000000"/>
            </w:tcBorders>
          </w:tcPr>
          <w:p>
            <w:pPr>
              <w:pStyle w:val="Normal"/>
              <w:jc w:val="center"/>
              <w:rPr/>
            </w:pPr>
            <w:r>
              <w:rPr/>
              <w:t>Number of Shares</w:t>
            </w:r>
          </w:p>
        </w:tc>
      </w:tr>
      <w:tr>
        <w:trPr/>
        <w:tc>
          <w:tcPr>
            <w:tcW w:w="3535" w:type="dxa"/>
            <w:tcBorders/>
          </w:tcPr>
          <w:p>
            <w:pPr>
              <w:pStyle w:val="Footer"/>
              <w:snapToGrid w:val="false"/>
              <w:rPr/>
            </w:pPr>
            <w:r>
              <w:rPr/>
            </w:r>
          </w:p>
        </w:tc>
        <w:tc>
          <w:tcPr>
            <w:tcW w:w="2786" w:type="dxa"/>
            <w:tcBorders/>
          </w:tcPr>
          <w:p>
            <w:pPr>
              <w:pStyle w:val="Normal"/>
              <w:ind w:hanging="9" w:start="9" w:end="0"/>
              <w:rPr/>
            </w:pPr>
            <w:r>
              <w:rPr/>
              <w:t>Enron Transportation</w:t>
            </w:r>
          </w:p>
          <w:p>
            <w:pPr>
              <w:pStyle w:val="Normal"/>
              <w:ind w:hanging="9" w:start="9" w:end="0"/>
              <w:rPr/>
            </w:pPr>
            <w:r>
              <w:rPr/>
              <w:t>Services Company</w:t>
            </w:r>
          </w:p>
        </w:tc>
        <w:tc>
          <w:tcPr>
            <w:tcW w:w="263" w:type="dxa"/>
            <w:tcBorders/>
          </w:tcPr>
          <w:p>
            <w:pPr>
              <w:pStyle w:val="Normal"/>
              <w:snapToGrid w:val="false"/>
              <w:rPr/>
            </w:pPr>
            <w:r>
              <w:rPr/>
            </w:r>
          </w:p>
        </w:tc>
        <w:tc>
          <w:tcPr>
            <w:tcW w:w="1617" w:type="dxa"/>
            <w:tcBorders/>
          </w:tcPr>
          <w:p>
            <w:pPr>
              <w:pStyle w:val="Normal"/>
              <w:jc w:val="center"/>
              <w:rPr/>
            </w:pPr>
            <w:r>
              <w:rPr/>
              <w:t>Common</w:t>
            </w:r>
          </w:p>
        </w:tc>
        <w:tc>
          <w:tcPr>
            <w:tcW w:w="284" w:type="dxa"/>
            <w:tcBorders/>
          </w:tcPr>
          <w:p>
            <w:pPr>
              <w:pStyle w:val="Normal"/>
              <w:snapToGrid w:val="false"/>
              <w:rPr/>
            </w:pPr>
            <w:r>
              <w:rPr/>
            </w:r>
          </w:p>
        </w:tc>
        <w:tc>
          <w:tcPr>
            <w:tcW w:w="1350" w:type="dxa"/>
            <w:gridSpan w:val="2"/>
            <w:tcBorders/>
          </w:tcPr>
          <w:p>
            <w:pPr>
              <w:pStyle w:val="Normal"/>
              <w:jc w:val="center"/>
              <w:rPr/>
            </w:pPr>
            <w:r>
              <w:rPr/>
              <w:t>1,000</w:t>
            </w:r>
          </w:p>
        </w:tc>
      </w:tr>
      <w:tr>
        <w:trPr>
          <w:trHeight w:val="323" w:hRule="atLeast"/>
        </w:trPr>
        <w:tc>
          <w:tcPr>
            <w:tcW w:w="3535" w:type="dxa"/>
            <w:tcBorders/>
          </w:tcPr>
          <w:p>
            <w:pPr>
              <w:pStyle w:val="Normal"/>
              <w:snapToGrid w:val="false"/>
              <w:rPr>
                <w:b/>
                <w:i/>
                <w:i/>
              </w:rPr>
            </w:pPr>
            <w:r>
              <w:rPr>
                <w:b/>
                <w:i/>
              </w:rPr>
            </w:r>
          </w:p>
        </w:tc>
        <w:tc>
          <w:tcPr>
            <w:tcW w:w="2786" w:type="dxa"/>
            <w:tcBorders/>
          </w:tcPr>
          <w:p>
            <w:pPr>
              <w:pStyle w:val="Normal"/>
              <w:snapToGrid w:val="false"/>
              <w:rPr>
                <w:b/>
                <w:i/>
                <w:i/>
              </w:rPr>
            </w:pPr>
            <w:r>
              <w:rPr>
                <w:b/>
                <w:i/>
              </w:rPr>
            </w:r>
          </w:p>
        </w:tc>
        <w:tc>
          <w:tcPr>
            <w:tcW w:w="263" w:type="dxa"/>
            <w:tcBorders/>
          </w:tcPr>
          <w:p>
            <w:pPr>
              <w:pStyle w:val="Normal"/>
              <w:snapToGrid w:val="false"/>
              <w:rPr/>
            </w:pPr>
            <w:r>
              <w:rPr/>
            </w:r>
          </w:p>
        </w:tc>
        <w:tc>
          <w:tcPr>
            <w:tcW w:w="1617" w:type="dxa"/>
            <w:tcBorders/>
          </w:tcPr>
          <w:p>
            <w:pPr>
              <w:pStyle w:val="Normal"/>
              <w:jc w:val="center"/>
              <w:rPr>
                <w:u w:val="single"/>
              </w:rPr>
            </w:pPr>
            <w:r>
              <w:rPr>
                <w:u w:val="single"/>
              </w:rPr>
              <w:t>___________</w:t>
            </w:r>
          </w:p>
        </w:tc>
        <w:tc>
          <w:tcPr>
            <w:tcW w:w="284" w:type="dxa"/>
            <w:tcBorders/>
          </w:tcPr>
          <w:p>
            <w:pPr>
              <w:pStyle w:val="Normal"/>
              <w:snapToGrid w:val="false"/>
              <w:rPr>
                <w:u w:val="single"/>
              </w:rPr>
            </w:pPr>
            <w:r>
              <w:rPr>
                <w:u w:val="single"/>
              </w:rPr>
            </w:r>
          </w:p>
        </w:tc>
        <w:tc>
          <w:tcPr>
            <w:tcW w:w="1350" w:type="dxa"/>
            <w:gridSpan w:val="2"/>
            <w:tcBorders/>
          </w:tcPr>
          <w:p>
            <w:pPr>
              <w:pStyle w:val="Normal"/>
              <w:jc w:val="center"/>
              <w:rPr>
                <w:u w:val="single"/>
              </w:rPr>
            </w:pPr>
            <w:r>
              <w:rPr>
                <w:u w:val="single"/>
              </w:rPr>
              <w:t>_________</w:t>
            </w:r>
          </w:p>
        </w:tc>
      </w:tr>
      <w:tr>
        <w:trPr/>
        <w:tc>
          <w:tcPr>
            <w:tcW w:w="3535" w:type="dxa"/>
            <w:tcBorders/>
          </w:tcPr>
          <w:p>
            <w:pPr>
              <w:pStyle w:val="Normal"/>
              <w:snapToGrid w:val="false"/>
              <w:rPr>
                <w:b/>
                <w:i/>
                <w:i/>
                <w:u w:val="single"/>
              </w:rPr>
            </w:pPr>
            <w:r>
              <w:rPr>
                <w:b/>
                <w:i/>
                <w:u w:val="single"/>
              </w:rPr>
            </w:r>
          </w:p>
        </w:tc>
        <w:tc>
          <w:tcPr>
            <w:tcW w:w="2786" w:type="dxa"/>
            <w:tcBorders/>
          </w:tcPr>
          <w:p>
            <w:pPr>
              <w:pStyle w:val="Normal"/>
              <w:rPr/>
            </w:pPr>
            <w:r>
              <w:rPr/>
              <w:t>Total</w:t>
            </w:r>
          </w:p>
        </w:tc>
        <w:tc>
          <w:tcPr>
            <w:tcW w:w="263" w:type="dxa"/>
            <w:tcBorders/>
          </w:tcPr>
          <w:p>
            <w:pPr>
              <w:pStyle w:val="Normal"/>
              <w:snapToGrid w:val="false"/>
              <w:rPr/>
            </w:pPr>
            <w:r>
              <w:rPr/>
            </w:r>
          </w:p>
        </w:tc>
        <w:tc>
          <w:tcPr>
            <w:tcW w:w="1617" w:type="dxa"/>
            <w:tcBorders/>
          </w:tcPr>
          <w:p>
            <w:pPr>
              <w:pStyle w:val="Normal"/>
              <w:snapToGrid w:val="false"/>
              <w:jc w:val="center"/>
              <w:rPr>
                <w:u w:val="double"/>
              </w:rPr>
            </w:pPr>
            <w:r>
              <w:rPr>
                <w:u w:val="double"/>
              </w:rPr>
            </w:r>
          </w:p>
        </w:tc>
        <w:tc>
          <w:tcPr>
            <w:tcW w:w="284" w:type="dxa"/>
            <w:tcBorders/>
          </w:tcPr>
          <w:p>
            <w:pPr>
              <w:pStyle w:val="Normal"/>
              <w:snapToGrid w:val="false"/>
              <w:rPr>
                <w:u w:val="double"/>
              </w:rPr>
            </w:pPr>
            <w:r>
              <w:rPr>
                <w:u w:val="double"/>
              </w:rPr>
            </w:r>
          </w:p>
        </w:tc>
        <w:tc>
          <w:tcPr>
            <w:tcW w:w="1350" w:type="dxa"/>
            <w:gridSpan w:val="2"/>
            <w:tcBorders/>
          </w:tcPr>
          <w:p>
            <w:pPr>
              <w:pStyle w:val="Normal"/>
              <w:jc w:val="center"/>
              <w:rPr>
                <w:u w:val="double"/>
              </w:rPr>
            </w:pPr>
            <w:r>
              <w:rPr>
                <w:u w:val="double"/>
              </w:rPr>
              <w:t>1,000</w:t>
            </w:r>
          </w:p>
        </w:tc>
      </w:tr>
      <w:tr>
        <w:trPr/>
        <w:tc>
          <w:tcPr>
            <w:tcW w:w="3535" w:type="dxa"/>
            <w:tcBorders/>
          </w:tcPr>
          <w:p>
            <w:pPr>
              <w:pStyle w:val="Normal"/>
              <w:snapToGrid w:val="false"/>
              <w:rPr>
                <w:b/>
                <w:i/>
                <w:i/>
                <w:u w:val="double"/>
              </w:rPr>
            </w:pPr>
            <w:r>
              <w:rPr>
                <w:b/>
                <w:i/>
                <w:u w:val="double"/>
              </w:rPr>
            </w:r>
          </w:p>
        </w:tc>
        <w:tc>
          <w:tcPr>
            <w:tcW w:w="2786" w:type="dxa"/>
            <w:tcBorders/>
          </w:tcPr>
          <w:p>
            <w:pPr>
              <w:pStyle w:val="Normal"/>
              <w:snapToGrid w:val="false"/>
              <w:rPr>
                <w:b/>
                <w:i/>
                <w:i/>
              </w:rPr>
            </w:pPr>
            <w:r>
              <w:rPr>
                <w:b/>
                <w:i/>
              </w:rPr>
            </w:r>
          </w:p>
        </w:tc>
        <w:tc>
          <w:tcPr>
            <w:tcW w:w="263" w:type="dxa"/>
            <w:tcBorders/>
          </w:tcPr>
          <w:p>
            <w:pPr>
              <w:pStyle w:val="Normal"/>
              <w:snapToGrid w:val="false"/>
              <w:rPr/>
            </w:pPr>
            <w:r>
              <w:rPr/>
            </w:r>
          </w:p>
        </w:tc>
        <w:tc>
          <w:tcPr>
            <w:tcW w:w="1617" w:type="dxa"/>
            <w:tcBorders/>
          </w:tcPr>
          <w:p>
            <w:pPr>
              <w:pStyle w:val="Normal"/>
              <w:snapToGrid w:val="false"/>
              <w:jc w:val="center"/>
              <w:rPr>
                <w:u w:val="double"/>
              </w:rPr>
            </w:pPr>
            <w:r>
              <w:rPr>
                <w:u w:val="double"/>
              </w:rPr>
            </w:r>
          </w:p>
        </w:tc>
        <w:tc>
          <w:tcPr>
            <w:tcW w:w="284" w:type="dxa"/>
            <w:tcBorders/>
          </w:tcPr>
          <w:p>
            <w:pPr>
              <w:pStyle w:val="Normal"/>
              <w:snapToGrid w:val="false"/>
              <w:rPr>
                <w:u w:val="double"/>
              </w:rPr>
            </w:pPr>
            <w:r>
              <w:rPr>
                <w:u w:val="double"/>
              </w:rPr>
            </w:r>
          </w:p>
        </w:tc>
        <w:tc>
          <w:tcPr>
            <w:tcW w:w="1350" w:type="dxa"/>
            <w:gridSpan w:val="2"/>
            <w:tcBorders/>
          </w:tcPr>
          <w:p>
            <w:pPr>
              <w:pStyle w:val="Normal"/>
              <w:snapToGrid w:val="false"/>
              <w:jc w:val="center"/>
              <w:rPr>
                <w:u w:val="double"/>
              </w:rPr>
            </w:pPr>
            <w:r>
              <w:rPr>
                <w:u w:val="double"/>
              </w:rPr>
            </w:r>
          </w:p>
        </w:tc>
      </w:tr>
      <w:tr>
        <w:trPr/>
        <w:tc>
          <w:tcPr>
            <w:tcW w:w="3535" w:type="dxa"/>
            <w:tcBorders/>
          </w:tcPr>
          <w:p>
            <w:pPr>
              <w:pStyle w:val="Normal"/>
              <w:rPr>
                <w:b/>
                <w:i/>
                <w:i/>
              </w:rPr>
            </w:pPr>
            <w:r>
              <w:rPr>
                <w:b/>
                <w:i/>
              </w:rPr>
              <w:t>Closing Date:</w:t>
            </w:r>
          </w:p>
        </w:tc>
        <w:tc>
          <w:tcPr>
            <w:tcW w:w="5940" w:type="dxa"/>
            <w:gridSpan w:val="5"/>
            <w:tcBorders/>
          </w:tcPr>
          <w:p>
            <w:pPr>
              <w:pStyle w:val="Normal"/>
              <w:rPr/>
            </w:pPr>
            <w:r>
              <w:rPr/>
              <w:t>As soon as practicable upon satisfaction of conditions to closing</w:t>
            </w:r>
          </w:p>
          <w:p>
            <w:pPr>
              <w:pStyle w:val="Normal"/>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jc w:val="start"/>
              <w:rPr>
                <w:b/>
                <w:i/>
                <w:i/>
              </w:rPr>
            </w:pPr>
            <w:r>
              <w:rPr>
                <w:b/>
                <w:i/>
              </w:rPr>
              <w:t>Rights, Preferences, Privileges and Restrictions of the Preferred Stock:</w:t>
            </w:r>
          </w:p>
        </w:tc>
        <w:tc>
          <w:tcPr>
            <w:tcW w:w="5940" w:type="dxa"/>
            <w:gridSpan w:val="5"/>
            <w:tcBorders/>
          </w:tcPr>
          <w:p>
            <w:pPr>
              <w:pStyle w:val="Normal"/>
              <w:tabs>
                <w:tab w:val="clear" w:pos="720"/>
                <w:tab w:val="left" w:pos="540" w:leader="none"/>
              </w:tabs>
              <w:rPr>
                <w:b/>
                <w:u w:val="single"/>
              </w:rPr>
            </w:pPr>
            <w:r>
              <w:rPr>
                <w:b/>
                <w:u w:val="single"/>
              </w:rPr>
              <w:t>Ranking</w:t>
            </w:r>
            <w:r>
              <w:rPr/>
              <w:t>:  Senior to all common stock of Gipper Sub II.</w:t>
            </w:r>
          </w:p>
          <w:p>
            <w:pPr>
              <w:pStyle w:val="Normal"/>
              <w:tabs>
                <w:tab w:val="clear" w:pos="720"/>
                <w:tab w:val="left" w:pos="540" w:leader="none"/>
              </w:tabs>
              <w:rPr>
                <w:b/>
                <w:u w:val="single"/>
              </w:rPr>
            </w:pPr>
            <w:r>
              <w:rPr>
                <w:b/>
                <w:u w:val="single"/>
              </w:rPr>
            </w:r>
          </w:p>
          <w:p>
            <w:pPr>
              <w:pStyle w:val="Normal"/>
              <w:tabs>
                <w:tab w:val="clear" w:pos="720"/>
                <w:tab w:val="left" w:pos="540" w:leader="none"/>
              </w:tabs>
              <w:rPr/>
            </w:pPr>
            <w:r>
              <w:rPr>
                <w:b/>
                <w:u w:val="single"/>
              </w:rPr>
              <w:t>Dividends</w:t>
            </w:r>
            <w:r>
              <w:rPr>
                <w:b/>
              </w:rPr>
              <w:t>:</w:t>
            </w:r>
            <w:r>
              <w:rPr/>
              <w:t xml:space="preserve">  The holders of Series A Preferred will be entitled to receive cumulative cash dividends in preference to the holders of common stock</w:t>
            </w:r>
            <w:r>
              <w:rPr>
                <w:b/>
              </w:rPr>
              <w:t xml:space="preserve"> </w:t>
            </w:r>
            <w:r>
              <w:rPr/>
              <w:t>from legally available funds when, as and if declared by the board of directors of Gipper Sub II at a rate of ____%, payable quarterly.</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rPr/>
            </w:pPr>
            <w:r>
              <w:rPr>
                <w:b/>
                <w:u w:val="single"/>
              </w:rPr>
              <w:t>Conversion Rights</w:t>
            </w:r>
            <w:r>
              <w:rPr>
                <w:b/>
              </w:rPr>
              <w:t>:</w:t>
            </w:r>
            <w:r>
              <w:rPr/>
              <w:t xml:space="preserve">  The holder of Series A Preferred will have the right to convert the shares of Series A Preferred into [that number of shares of common stock that, upon conversion, equal to 51% of the issued and outstanding shares of common stock of Gipper Sub II] [conversion ratio subject to due diligence on Gipper Sub II capital structure] at the option of the holder:</w:t>
            </w:r>
          </w:p>
          <w:p>
            <w:pPr>
              <w:pStyle w:val="Header"/>
              <w:numPr>
                <w:ilvl w:val="0"/>
                <w:numId w:val="3"/>
              </w:numPr>
              <w:tabs>
                <w:tab w:val="clear" w:pos="4680"/>
                <w:tab w:val="clear" w:pos="9360"/>
              </w:tabs>
              <w:spacing w:before="120" w:after="60"/>
              <w:ind w:hanging="432" w:start="432" w:end="0"/>
              <w:rPr/>
            </w:pPr>
            <w:r>
              <w:rPr/>
              <w:t xml:space="preserve">at any time after </w:t>
            </w:r>
          </w:p>
          <w:p>
            <w:pPr>
              <w:pStyle w:val="Header"/>
              <w:numPr>
                <w:ilvl w:val="0"/>
                <w:numId w:val="6"/>
              </w:numPr>
              <w:tabs>
                <w:tab w:val="clear" w:pos="4680"/>
                <w:tab w:val="clear" w:pos="9360"/>
                <w:tab w:val="left" w:pos="972" w:leader="none"/>
              </w:tabs>
              <w:spacing w:before="0" w:after="60"/>
              <w:ind w:hanging="540" w:start="972" w:end="0"/>
              <w:rPr/>
            </w:pPr>
            <w:r>
              <w:rPr/>
              <w:t>the merger agreement has been terminated pursuant to Section 9.2(b), 9.3(c) or 9.4(b) thereof; or</w:t>
            </w:r>
          </w:p>
          <w:p>
            <w:pPr>
              <w:pStyle w:val="Header"/>
              <w:numPr>
                <w:ilvl w:val="0"/>
                <w:numId w:val="6"/>
              </w:numPr>
              <w:tabs>
                <w:tab w:val="clear" w:pos="4680"/>
                <w:tab w:val="clear" w:pos="9360"/>
                <w:tab w:val="left" w:pos="972" w:leader="none"/>
              </w:tabs>
              <w:spacing w:before="0" w:after="60"/>
              <w:ind w:hanging="540" w:start="972" w:end="0"/>
              <w:rPr/>
            </w:pPr>
            <w:r>
              <w:rPr/>
              <w:t>Rockne has notified Gipper that it is terminating the merger agreement pursuant to Section 9.4(a) thereof;</w:t>
            </w:r>
          </w:p>
          <w:p>
            <w:pPr>
              <w:pStyle w:val="Header"/>
              <w:numPr>
                <w:ilvl w:val="0"/>
                <w:numId w:val="3"/>
              </w:numPr>
              <w:tabs>
                <w:tab w:val="clear" w:pos="4680"/>
                <w:tab w:val="clear" w:pos="9360"/>
              </w:tabs>
              <w:spacing w:before="60" w:after="60"/>
              <w:ind w:hanging="432" w:start="432" w:end="0"/>
              <w:rPr/>
            </w:pPr>
            <w:r>
              <w:rPr/>
              <w:t xml:space="preserve">at any time beginning six months after the merger agreement has been terminated pursuant to Sections 9.1, 9.2(a) or 9.2(d) thereof; and </w:t>
            </w:r>
          </w:p>
          <w:p>
            <w:pPr>
              <w:pStyle w:val="Header"/>
              <w:keepNext w:val="true"/>
              <w:keepLines/>
              <w:numPr>
                <w:ilvl w:val="0"/>
                <w:numId w:val="3"/>
              </w:numPr>
              <w:tabs>
                <w:tab w:val="clear" w:pos="4680"/>
                <w:tab w:val="clear" w:pos="9360"/>
              </w:tabs>
              <w:spacing w:before="0" w:after="60"/>
              <w:ind w:hanging="432" w:start="432" w:end="0"/>
              <w:rPr/>
            </w:pPr>
            <w:r>
              <w:rPr/>
              <w:t xml:space="preserve">at any time beginning one year after </w:t>
            </w:r>
          </w:p>
          <w:p>
            <w:pPr>
              <w:pStyle w:val="Header"/>
              <w:numPr>
                <w:ilvl w:val="0"/>
                <w:numId w:val="5"/>
              </w:numPr>
              <w:tabs>
                <w:tab w:val="clear" w:pos="4680"/>
                <w:tab w:val="clear" w:pos="9360"/>
                <w:tab w:val="left" w:pos="972" w:leader="none"/>
              </w:tabs>
              <w:spacing w:before="0" w:after="60"/>
              <w:ind w:hanging="540" w:start="972" w:end="0"/>
              <w:rPr/>
            </w:pPr>
            <w:r>
              <w:rPr/>
              <w:t>the merger agreement has been terminated pursuant to Section 9.2(c), 9.3(b) or 9.4(c) thereof; or</w:t>
            </w:r>
          </w:p>
          <w:p>
            <w:pPr>
              <w:pStyle w:val="Header"/>
              <w:numPr>
                <w:ilvl w:val="0"/>
                <w:numId w:val="5"/>
              </w:numPr>
              <w:tabs>
                <w:tab w:val="clear" w:pos="4680"/>
                <w:tab w:val="clear" w:pos="9360"/>
                <w:tab w:val="left" w:pos="972" w:leader="none"/>
              </w:tabs>
              <w:spacing w:before="0" w:after="60"/>
              <w:ind w:hanging="540" w:start="972" w:end="0"/>
              <w:rPr/>
            </w:pPr>
            <w:r>
              <w:rPr/>
              <w:t>Gipper has notified Rockne that it intends to terminate the merger agreement pursuant to Section 9.3(a) thereof.</w:t>
            </w:r>
          </w:p>
        </w:tc>
        <w:tc>
          <w:tcPr>
            <w:tcW w:w="360" w:type="dxa"/>
            <w:tcBorders/>
            <w:tcMar>
              <w:start w:w="0" w:type="dxa"/>
              <w:end w:w="0" w:type="dxa"/>
            </w:tcMar>
          </w:tcPr>
          <w:p>
            <w:pPr>
              <w:pStyle w:val="Normal"/>
              <w:snapToGrid w:val="false"/>
              <w:rPr/>
            </w:pPr>
            <w:r>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snapToGrid w:val="false"/>
              <w:rPr>
                <w:b/>
                <w:i/>
                <w:i/>
              </w:rPr>
            </w:pPr>
            <w:r>
              <w:rPr>
                <w:b/>
                <w:i/>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spacing w:before="0" w:after="120"/>
              <w:rPr/>
            </w:pPr>
            <w:r>
              <w:rPr>
                <w:b/>
                <w:u w:val="single"/>
              </w:rPr>
              <w:t>Redemption</w:t>
            </w:r>
            <w:r>
              <w:rPr>
                <w:b/>
              </w:rPr>
              <w:t>:</w:t>
            </w:r>
            <w:r>
              <w:rPr/>
              <w:t xml:space="preserve">  The Series A Preferred will be redeemable at the option of Gipper: </w:t>
            </w:r>
          </w:p>
          <w:p>
            <w:pPr>
              <w:pStyle w:val="Normal"/>
              <w:numPr>
                <w:ilvl w:val="0"/>
                <w:numId w:val="2"/>
              </w:numPr>
              <w:spacing w:before="0" w:after="60"/>
              <w:ind w:hanging="432" w:start="432" w:end="0"/>
              <w:rPr/>
            </w:pPr>
            <w:r>
              <w:rPr/>
              <w:t xml:space="preserve">at any time during the period beginning on the date the merger agreement has been terminated pursuant to Section 9.1, 9.2(a) and 9.2(d) thereof and ending six months after such date; </w:t>
            </w:r>
          </w:p>
          <w:p>
            <w:pPr>
              <w:pStyle w:val="Normal"/>
              <w:numPr>
                <w:ilvl w:val="0"/>
                <w:numId w:val="2"/>
              </w:numPr>
              <w:spacing w:before="0" w:after="60"/>
              <w:ind w:hanging="432" w:start="432" w:end="0"/>
              <w:rPr/>
            </w:pPr>
            <w:r>
              <w:rPr/>
              <w:t xml:space="preserve">at any time during the period beginning on the date the merger agreement has been terminated pursuant to Section 9.2(b), 9.3(a) and 9.4(c) thereof and ending one year after such date; and </w:t>
            </w:r>
          </w:p>
          <w:p>
            <w:pPr>
              <w:pStyle w:val="Normal"/>
              <w:numPr>
                <w:ilvl w:val="0"/>
                <w:numId w:val="2"/>
              </w:numPr>
              <w:spacing w:before="0" w:after="60"/>
              <w:ind w:hanging="432" w:start="432" w:end="0"/>
              <w:rPr/>
            </w:pPr>
            <w:r>
              <w:rPr/>
              <w:t xml:space="preserve">at any time during the period beginning on the date that Gipper notifies Rockne that it intends to terminate the merger agreement pursuant to Section 9.3(a) thereof and ending one year after such date; </w:t>
            </w:r>
          </w:p>
          <w:p>
            <w:pPr>
              <w:pStyle w:val="Normal"/>
              <w:tabs>
                <w:tab w:val="clear" w:pos="720"/>
                <w:tab w:val="left" w:pos="540" w:leader="none"/>
              </w:tabs>
              <w:spacing w:before="60" w:after="0"/>
              <w:rPr/>
            </w:pPr>
            <w:r>
              <w:rPr/>
              <w:t>in each case, at a redemption price equal to the liquidation preference amount, plus all accrued and unpaid dividends.</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spacing w:before="0" w:after="60"/>
              <w:rPr/>
            </w:pPr>
            <w:r>
              <w:rPr>
                <w:b/>
                <w:u w:val="single"/>
              </w:rPr>
              <w:t>Exchange for Gipper Common Stock</w:t>
            </w:r>
            <w:r>
              <w:rPr>
                <w:b/>
              </w:rPr>
              <w:t>:</w:t>
            </w:r>
            <w:r>
              <w:rPr/>
              <w:t xml:space="preserve">  Each share of Series A Preferred is exchangeable for a number of shares of common stock of Gipper determined by dividing the liquidation preference amount, plus all accrued and unpaid dividends, by the Exchange Price:</w:t>
            </w:r>
          </w:p>
          <w:p>
            <w:pPr>
              <w:pStyle w:val="Normal"/>
              <w:numPr>
                <w:ilvl w:val="0"/>
                <w:numId w:val="4"/>
              </w:numPr>
              <w:tabs>
                <w:tab w:val="clear" w:pos="720"/>
                <w:tab w:val="left" w:pos="972" w:leader="none"/>
              </w:tabs>
              <w:spacing w:before="0" w:after="60"/>
              <w:ind w:hanging="547" w:start="972" w:end="0"/>
              <w:rPr/>
            </w:pPr>
            <w:r>
              <w:rPr/>
              <w:t xml:space="preserve">at the option of Gipper during the period beginning on the date the merger agreement is terminated pursuant to Section 9.2(c) after the public announcement of a Rockne Acquisition Proposal, Section 9.3(b) or 9.4(c) and ending 15 days after such date; and </w:t>
            </w:r>
          </w:p>
          <w:p>
            <w:pPr>
              <w:pStyle w:val="Normal"/>
              <w:numPr>
                <w:ilvl w:val="0"/>
                <w:numId w:val="4"/>
              </w:numPr>
              <w:tabs>
                <w:tab w:val="clear" w:pos="720"/>
                <w:tab w:val="left" w:pos="972" w:leader="none"/>
              </w:tabs>
              <w:spacing w:before="0" w:after="60"/>
              <w:ind w:hanging="547" w:start="972" w:end="0"/>
              <w:rPr/>
            </w:pPr>
            <w:r>
              <w:rPr/>
              <w:t>at the option of Rockne during the period beginning on the date the merger agreement is terminated pursuant to Section 9.2(b) after the public announcement of a Gipper Acquisition Proposal, Section 9.3(c) or 9.4(b) and ending 90 days after such date.</w:t>
            </w:r>
          </w:p>
          <w:p>
            <w:pPr>
              <w:pStyle w:val="Normal"/>
              <w:tabs>
                <w:tab w:val="clear" w:pos="720"/>
                <w:tab w:val="left" w:pos="540" w:leader="none"/>
              </w:tabs>
              <w:spacing w:before="60" w:after="0"/>
              <w:rPr/>
            </w:pPr>
            <w:r>
              <w:rPr/>
              <w:t>The Exchange Price shall initially be $_____ [implied price per share of the Gipper common stock in the merger agreement].  The Exchange Price shall be subject to adjustment for any stock splits, stock dividends, combinations, recapitalizations, exchanges of shares or similar transactions by Gipper.</w:t>
            </w:r>
          </w:p>
          <w:p>
            <w:pPr>
              <w:pStyle w:val="Normal"/>
              <w:tabs>
                <w:tab w:val="clear" w:pos="720"/>
                <w:tab w:val="left" w:pos="540" w:leader="none"/>
              </w:tabs>
              <w:rPr>
                <w:b/>
                <w:u w:val="single"/>
              </w:rPr>
            </w:pPr>
            <w:r>
              <w:rPr>
                <w:b/>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rPr/>
            </w:pPr>
            <w:r>
              <w:rPr>
                <w:b/>
                <w:u w:val="single"/>
              </w:rPr>
              <w:t>Liquidation Preference</w:t>
            </w:r>
            <w:r>
              <w:rPr>
                <w:b/>
              </w:rPr>
              <w:t>:</w:t>
            </w:r>
            <w:r>
              <w:rPr/>
              <w:t xml:space="preserve">  In the event of any liquidation or winding up of Gipper Sub II, the holders of Series A Preferred will be entitled to receive in preference to the holders of the common stock, the amount equal to the Purchase Price ($500,000 per share) plus accrued and unpaid dividends if any. After payment of all such amounts, all remaining assets will be distributed to the holders of common stock.  A sale of all or substantially all of the assets of Gipper Sub II or any consolidation, merger or acquisition that results in the holders of Gipper Sub II’s capital stock prior to the transaction owning less than 100% of the voting power of Gipper Sub II’s capital stock after the transaction will be deemed to be a liquidation for purposes of the liquidation preference. </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rPr/>
            </w:pPr>
            <w:r>
              <w:rPr>
                <w:b/>
                <w:u w:val="single"/>
              </w:rPr>
              <w:t>Voting Rights</w:t>
            </w:r>
            <w:r>
              <w:rPr>
                <w:b/>
              </w:rPr>
              <w:t>:</w:t>
            </w:r>
            <w:r>
              <w:rPr/>
              <w:t xml:space="preserve">  Unless required by law and as provided below, the holder of Series A Preferred will not be entitled to vote unless and until dividends are not declared or paid for two quarters.  At such time, the holders of Series A Preferred will have the right to vote together with the holders of common stock on all matters on an as-converted basis.  In addition, the holders of the Series A Preferred will be entitled to elect 2 directors.</w:t>
            </w:r>
          </w:p>
          <w:p>
            <w:pPr>
              <w:pStyle w:val="Normal"/>
              <w:tabs>
                <w:tab w:val="clear" w:pos="720"/>
                <w:tab w:val="left" w:pos="540" w:leader="none"/>
              </w:tabs>
              <w:rPr>
                <w:b/>
                <w:u w:val="single"/>
              </w:rPr>
            </w:pPr>
            <w:r>
              <w:rPr>
                <w:b/>
                <w:u w:val="single"/>
              </w:rPr>
            </w:r>
          </w:p>
        </w:tc>
        <w:tc>
          <w:tcPr>
            <w:tcW w:w="360" w:type="dxa"/>
            <w:tcBorders/>
            <w:tcMar>
              <w:start w:w="0" w:type="dxa"/>
              <w:end w:w="0" w:type="dxa"/>
            </w:tcMar>
          </w:tcPr>
          <w:p>
            <w:pPr>
              <w:pStyle w:val="Normal"/>
              <w:snapToGrid w:val="false"/>
              <w:rPr>
                <w:b/>
                <w:u w:val="single"/>
              </w:rPr>
            </w:pPr>
            <w:r>
              <w:rPr>
                <w:b/>
                <w:u w:val="single"/>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rPr/>
            </w:pPr>
            <w:r>
              <w:rPr>
                <w:b/>
                <w:u w:val="single"/>
              </w:rPr>
              <w:t>Protective Provisions</w:t>
            </w:r>
            <w:r>
              <w:rPr>
                <w:b/>
              </w:rPr>
              <w:t>:</w:t>
            </w:r>
            <w:r>
              <w:rPr/>
              <w:t xml:space="preserve">  Without the approval of the holders of at least a majority of the Series A Preferred, Gipper Sub II will not, directly or indirectly, (i) make any dividends or distributions or redeem or otherwise acquire any equity interest in any person, or make any investments in or loans to any affiliate other than a wholly owned subsidiary of Gipper Sub II (other than a loan or dividend of a maximum of $1,050 million to Gipper or any direct or indirect wholly owned subsidiary of Gipper); (ii) issue any capital stock or any security convertible into capital stock; (iii) make a voluntary bankruptcy filing; (iv) incur any additional indebtedness other than (A) the indebtedness contemplated by the commitment letters entered into by Gipper Sub II on November __, 2001 with [name of banks] and (B) indebtedness incurred to refinance outstanding indebtedness; (v) sell any assets other than obsolete equipment or inventory and other than assets sales in the ordinary course of business consistent with past practice not to exceed an aggregate of $20 million within any 12</w:t>
              <w:noBreakHyphen/>
              <w:t>month period; (vi) agree to any consolidation or merger that results in the holders of the company’s capital stock prior to the transaction owning less than 100% of the voting power of the company’s capital stock after the transaction; (vii) make any expansion capital expenditures in excess of budget; (viii) alter or change the rights, preferences or privileges of the Series A Preferred so as to materially and adversely affect the holders of such shares; or (ix) amend the Certificate of Incorporation or Bylaws of Gipper Sub II in a manner which materially adversely affects the holders of the Series A Preferred.</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snapToGrid w:val="false"/>
              <w:rPr>
                <w:b/>
                <w:i/>
                <w:i/>
              </w:rPr>
            </w:pPr>
            <w:r>
              <w:rPr>
                <w:b/>
                <w:i/>
              </w:rPr>
            </w:r>
          </w:p>
        </w:tc>
        <w:tc>
          <w:tcPr>
            <w:tcW w:w="5940" w:type="dxa"/>
            <w:gridSpan w:val="5"/>
            <w:tcBorders/>
          </w:tcPr>
          <w:p>
            <w:pPr>
              <w:pStyle w:val="Normal"/>
              <w:tabs>
                <w:tab w:val="clear" w:pos="720"/>
                <w:tab w:val="left" w:pos="540" w:leader="none"/>
              </w:tabs>
              <w:rPr/>
            </w:pPr>
            <w:r>
              <w:rPr>
                <w:b/>
                <w:u w:val="single"/>
              </w:rPr>
              <w:t>Conditions to Closing</w:t>
            </w:r>
            <w:r>
              <w:rPr>
                <w:b/>
              </w:rPr>
              <w:t>:</w:t>
            </w:r>
            <w:r>
              <w:rPr/>
              <w:t xml:space="preserve"> (i) Representations and warranties in the subscription agreement are true and correct; (ii) no material adverse change in Gipper Sub II; (iii) filing under Hart-Scott-Rodino for the conversion of the Series A Preferred; (iv) no injunction, etc. preventing the sale of the Series A Preferred; (v) the merger agreement has not been terminated and is not then terminable by either party.</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rPr>
                <w:b/>
                <w:i/>
                <w:i/>
              </w:rPr>
            </w:pPr>
            <w:r>
              <w:rPr>
                <w:b/>
                <w:i/>
              </w:rPr>
              <w:t>Information Rights:</w:t>
            </w:r>
          </w:p>
        </w:tc>
        <w:tc>
          <w:tcPr>
            <w:tcW w:w="5940" w:type="dxa"/>
            <w:gridSpan w:val="5"/>
            <w:tcBorders/>
          </w:tcPr>
          <w:p>
            <w:pPr>
              <w:pStyle w:val="Normal"/>
              <w:tabs>
                <w:tab w:val="clear" w:pos="720"/>
                <w:tab w:val="left" w:pos="540" w:leader="none"/>
              </w:tabs>
              <w:rPr/>
            </w:pPr>
            <w:r>
              <w:rPr/>
              <w:t>So long as the holder of Series A Preferred continues to hold at least 1 share of Series A Preferred or common stock issued upon conversion of Series A Preferred, Gipper Sub II will deliver to such holder (i) annual and quarterly financial statements, (ii) an annual and quarterly budget, (iii) all management and board reports, (iv) any reports or other information given to holders of Gipper Sub II indebtedness and (v) such other information as shall be requested by the holder.</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rPr>
                <w:b/>
                <w:i/>
                <w:i/>
              </w:rPr>
            </w:pPr>
            <w:r>
              <w:rPr>
                <w:b/>
                <w:i/>
              </w:rPr>
              <w:t>Hart-Scott-Rodino:</w:t>
            </w:r>
          </w:p>
        </w:tc>
        <w:tc>
          <w:tcPr>
            <w:tcW w:w="5940" w:type="dxa"/>
            <w:gridSpan w:val="5"/>
            <w:tcBorders/>
          </w:tcPr>
          <w:p>
            <w:pPr>
              <w:pStyle w:val="Normal"/>
              <w:tabs>
                <w:tab w:val="clear" w:pos="720"/>
                <w:tab w:val="left" w:pos="540" w:leader="none"/>
              </w:tabs>
              <w:rPr/>
            </w:pPr>
            <w:r>
              <w:rPr/>
              <w:t>Gipper and Gipper Sub II will use their best efforts to obtain early termination of the waiting period under Hart-Scott-Rodino for the conversion of the Series A Preferred.  If at any time Rockne has the right to convert the Series A Preferred into shares of Gipper Sub II common stock and the waiting period under Hart-Scott-Rodino has not yet been terminated, (i) Rockne will have the right to sell the Series A Preferred to any third party, or (ii) to require that the other holders of equity securities of Gipper Sub II sell their equity securities to a third party or to require that Gipper Sub II sell all or substantially all of their assets.</w:t>
            </w:r>
          </w:p>
          <w:p>
            <w:pPr>
              <w:pStyle w:val="Normal"/>
              <w:tabs>
                <w:tab w:val="clear" w:pos="720"/>
                <w:tab w:val="left" w:pos="540" w:leader="none"/>
              </w:tabs>
              <w:rPr/>
            </w:pPr>
            <w:r>
              <w:rPr/>
            </w:r>
          </w:p>
        </w:tc>
        <w:tc>
          <w:tcPr>
            <w:tcW w:w="360" w:type="dxa"/>
            <w:tcBorders/>
            <w:tcMar>
              <w:start w:w="0" w:type="dxa"/>
              <w:end w:w="0" w:type="dxa"/>
            </w:tcMar>
          </w:tcPr>
          <w:p>
            <w:pPr>
              <w:pStyle w:val="Normal"/>
              <w:snapToGrid w:val="false"/>
              <w:rPr/>
            </w:pPr>
            <w:r>
              <w:rPr/>
            </w:r>
          </w:p>
        </w:tc>
      </w:tr>
      <w:tr>
        <w:trPr/>
        <w:tc>
          <w:tcPr>
            <w:tcW w:w="3535" w:type="dxa"/>
            <w:tcBorders/>
          </w:tcPr>
          <w:p>
            <w:pPr>
              <w:pStyle w:val="Normal"/>
              <w:rPr>
                <w:b/>
                <w:i/>
                <w:i/>
              </w:rPr>
            </w:pPr>
            <w:r>
              <w:rPr>
                <w:b/>
                <w:i/>
              </w:rPr>
              <w:t>Registration Rights:</w:t>
            </w:r>
          </w:p>
        </w:tc>
        <w:tc>
          <w:tcPr>
            <w:tcW w:w="5940" w:type="dxa"/>
            <w:gridSpan w:val="5"/>
            <w:tcBorders/>
          </w:tcPr>
          <w:p>
            <w:pPr>
              <w:pStyle w:val="Normal"/>
              <w:tabs>
                <w:tab w:val="clear" w:pos="720"/>
                <w:tab w:val="left" w:pos="540" w:leader="none"/>
              </w:tabs>
              <w:rPr/>
            </w:pPr>
            <w:r>
              <w:rPr/>
              <w:t>The Subscription Agreement shall contain customary registration rights for the sale by Rockne of any shares of Gipper common stock received upon exchange of Series A Preferred.</w:t>
            </w:r>
          </w:p>
        </w:tc>
        <w:tc>
          <w:tcPr>
            <w:tcW w:w="360" w:type="dxa"/>
            <w:tcBorders/>
            <w:tcMar>
              <w:start w:w="0" w:type="dxa"/>
              <w:end w:w="0" w:type="dxa"/>
            </w:tcMar>
          </w:tcPr>
          <w:p>
            <w:pPr>
              <w:pStyle w:val="Normal"/>
              <w:snapToGrid w:val="false"/>
              <w:rPr/>
            </w:pPr>
            <w:r>
              <w:rPr/>
            </w:r>
          </w:p>
        </w:tc>
      </w:tr>
    </w:tbl>
    <w:p>
      <w:pPr>
        <w:pStyle w:val="BodyText"/>
        <w:spacing w:before="0" w:after="240"/>
        <w:rPr/>
      </w:pPr>
      <w:r>
        <w:rPr/>
      </w:r>
    </w:p>
    <w:sectPr>
      <w:headerReference w:type="default" r:id="rId2"/>
      <w:footerReference w:type="default" r:id="rId3"/>
      <w:type w:val="nextPage"/>
      <w:pgSz w:w="12240" w:h="15840"/>
      <w:pgMar w:left="1440" w:right="1440" w:gutter="0" w:header="720" w:top="1296" w:footer="57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pPr>
    <w:r>
      <w:rPr/>
      <w:tab/>
    </w:r>
    <w:r>
      <w:rPr>
        <w:sz w:val="2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rStyle w:val="PageNumber"/>
        <w:sz w:val="24"/>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11/3/01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35"/>
        </w:tabs>
        <w:ind w:start="435" w:hanging="435"/>
      </w:pPr>
      <w:rPr/>
    </w:lvl>
  </w:abstractNum>
  <w:abstractNum w:abstractNumId="3">
    <w:lvl w:ilvl="0">
      <w:start w:val="1"/>
      <w:numFmt w:val="lowerLetter"/>
      <w:lvlText w:val="(%1)"/>
      <w:lvlJc w:val="start"/>
      <w:pPr>
        <w:tabs>
          <w:tab w:val="num" w:pos="375"/>
        </w:tabs>
        <w:ind w:start="375" w:hanging="375"/>
      </w:pPr>
      <w:rPr/>
    </w:lvl>
  </w:abstractNum>
  <w:abstractNum w:abstractNumId="4">
    <w:lvl w:ilvl="0">
      <w:start w:val="1"/>
      <w:numFmt w:val="lowerLetter"/>
      <w:lvlText w:val="(%1)"/>
      <w:lvlJc w:val="start"/>
      <w:pPr>
        <w:tabs>
          <w:tab w:val="num" w:pos="540"/>
        </w:tabs>
        <w:ind w:start="540" w:hanging="540"/>
      </w:pPr>
      <w:rPr/>
    </w:lvl>
  </w:abstractNum>
  <w:abstractNum w:abstractNumId="5">
    <w:lvl w:ilvl="0">
      <w:start w:val="1"/>
      <w:numFmt w:val="lowerRoman"/>
      <w:lvlText w:val="(%1)"/>
      <w:lvlJc w:val="start"/>
      <w:pPr>
        <w:tabs>
          <w:tab w:val="num" w:pos="1440"/>
        </w:tabs>
        <w:ind w:start="1440" w:hanging="720"/>
      </w:pPr>
      <w:rPr/>
    </w:lvl>
  </w:abstractNum>
  <w:abstractNum w:abstractNumId="6">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2">
    <w:name w:val="Body Text 2"/>
    <w:basedOn w:val="Normal"/>
    <w:qFormat/>
    <w:pPr>
      <w:spacing w:before="0" w:after="24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2001-11-03T17:57:00Z</dcterms:created>
  <dc:creator> </dc:creator>
  <dc:description>HOU03:810174.4</dc:description>
  <dc:language>en-CA</dc:language>
  <cp:lastModifiedBy>Travis McCullough</cp:lastModifiedBy>
  <cp:lastPrinted>2001-11-03T07:59:00Z</cp:lastPrinted>
  <dcterms:modified xsi:type="dcterms:W3CDTF">2001-11-03T17:57:00Z</dcterms:modified>
  <cp:revision>2</cp:revision>
  <dc:subject/>
  <dc:title>Proposed Terms of Preferred Stock to be Issued by Gipper Sub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