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tab/>
        <w:tab/>
      </w:r>
      <w:r>
        <w:rPr>
          <w:b/>
        </w:rPr>
        <w:t>EDWARD P. GIBLIN, JR.</w:t>
      </w:r>
    </w:p>
    <w:p>
      <w:pPr>
        <w:pStyle w:val="Normal"/>
        <w:rPr>
          <w:b/>
        </w:rPr>
      </w:pPr>
      <w:r>
        <w:rPr>
          <w:b/>
        </w:rPr>
      </w:r>
    </w:p>
    <w:p>
      <w:pPr>
        <w:pStyle w:val="Normal"/>
        <w:rPr/>
      </w:pPr>
      <w:r>
        <w:rPr/>
      </w:r>
    </w:p>
    <w:p>
      <w:pPr>
        <w:pStyle w:val="Normal"/>
        <w:rPr>
          <w:sz w:val="24"/>
        </w:rPr>
      </w:pPr>
      <w:r>
        <w:rPr>
          <w:sz w:val="24"/>
        </w:rPr>
        <w:t>17 Bracken Fern Ct.</w:t>
      </w:r>
    </w:p>
    <w:p>
      <w:pPr>
        <w:pStyle w:val="Normal"/>
        <w:rPr>
          <w:sz w:val="24"/>
        </w:rPr>
      </w:pPr>
      <w:r>
        <w:rPr>
          <w:sz w:val="24"/>
        </w:rPr>
        <w:t>The Woodlands, TX 77380</w:t>
      </w:r>
    </w:p>
    <w:p>
      <w:pPr>
        <w:pStyle w:val="Normal"/>
        <w:rPr>
          <w:sz w:val="24"/>
        </w:rPr>
      </w:pPr>
      <w:r>
        <w:rPr>
          <w:sz w:val="24"/>
        </w:rPr>
        <w:t>(281) 363-2649 home</w:t>
      </w:r>
    </w:p>
    <w:p>
      <w:pPr>
        <w:pStyle w:val="Normal"/>
        <w:rPr>
          <w:sz w:val="24"/>
        </w:rPr>
      </w:pPr>
      <w:r>
        <w:rPr>
          <w:sz w:val="24"/>
        </w:rPr>
        <w:t>(713) 345-3829 office</w:t>
      </w:r>
    </w:p>
    <w:p>
      <w:pPr>
        <w:pStyle w:val="Normal"/>
        <w:rPr>
          <w:sz w:val="24"/>
        </w:rPr>
      </w:pPr>
      <w:r>
        <w:rPr>
          <w:sz w:val="24"/>
        </w:rPr>
      </w:r>
    </w:p>
    <w:p>
      <w:pPr>
        <w:pStyle w:val="Normal"/>
        <w:rPr>
          <w:sz w:val="24"/>
        </w:rPr>
      </w:pPr>
      <w:r>
        <w:rPr>
          <w:sz w:val="24"/>
        </w:rPr>
      </w:r>
    </w:p>
    <w:p>
      <w:pPr>
        <w:pStyle w:val="Heading1"/>
        <w:ind w:hanging="2160" w:start="2160" w:end="0"/>
        <w:rPr/>
      </w:pPr>
      <w:r>
        <w:rPr/>
        <w:t>PROFILE</w:t>
        <w:tab/>
      </w:r>
      <w:r>
        <w:rPr>
          <w:b w:val="false"/>
        </w:rPr>
        <w:t>Business development manager, attorney and commercial director with broad range of sale, legal, business and contract administration experience in the engineering, consulting, construction and related industries both nationally and internationally.</w:t>
      </w:r>
    </w:p>
    <w:p>
      <w:pPr>
        <w:pStyle w:val="Heading1"/>
        <w:ind w:hanging="2160" w:start="2160" w:end="0"/>
        <w:rPr/>
      </w:pPr>
      <w:r>
        <w:rPr/>
        <w:t xml:space="preserve">                                  </w:t>
      </w:r>
    </w:p>
    <w:p>
      <w:pPr>
        <w:pStyle w:val="Heading1"/>
        <w:ind w:hanging="2160" w:start="2160" w:end="0"/>
        <w:rPr/>
      </w:pPr>
      <w:r>
        <w:rPr/>
        <w:t xml:space="preserve">                                  </w:t>
      </w:r>
      <w:r>
        <w:rPr>
          <w:b w:val="false"/>
        </w:rPr>
        <w:t xml:space="preserve">  </w:t>
      </w:r>
      <w:r>
        <w:rPr>
          <w:b w:val="false"/>
        </w:rPr>
        <w:t xml:space="preserve">Strengths include: </w:t>
      </w:r>
    </w:p>
    <w:p>
      <w:pPr>
        <w:pStyle w:val="Normal"/>
        <w:rPr>
          <w:sz w:val="24"/>
        </w:rPr>
      </w:pPr>
      <w:r>
        <w:rPr>
          <w:sz w:val="24"/>
        </w:rPr>
        <w:tab/>
        <w:tab/>
        <w:tab/>
      </w:r>
    </w:p>
    <w:p>
      <w:pPr>
        <w:pStyle w:val="Normal"/>
        <w:ind w:start="2160" w:end="0"/>
        <w:rPr>
          <w:sz w:val="24"/>
        </w:rPr>
      </w:pPr>
      <w:r>
        <w:rPr>
          <w:sz w:val="24"/>
        </w:rPr>
        <w:t xml:space="preserve">Closing deals and negotiating complex transactions including a variety of agreements and arrangements, such as fixed price engineering, procurement and construction contracts and project finance documents (ranging in value from $1Million to $1 Billion) together with related joint venture and consortium agreements with partners. </w:t>
      </w:r>
    </w:p>
    <w:p>
      <w:pPr>
        <w:pStyle w:val="Normal"/>
        <w:ind w:start="2160" w:end="0"/>
        <w:rPr>
          <w:sz w:val="24"/>
        </w:rPr>
      </w:pPr>
      <w:r>
        <w:rPr>
          <w:sz w:val="24"/>
        </w:rPr>
      </w:r>
    </w:p>
    <w:p>
      <w:pPr>
        <w:pStyle w:val="Normal"/>
        <w:ind w:start="2160" w:end="0"/>
        <w:rPr>
          <w:sz w:val="24"/>
        </w:rPr>
      </w:pPr>
      <w:r>
        <w:rPr>
          <w:sz w:val="24"/>
        </w:rPr>
        <w:t>Supporting projects in commercial and legal matters including managing the administration of prime and subcontracts and managing the change and claim processes. Managing relationships with local and national officials in foreign countries.</w:t>
      </w:r>
    </w:p>
    <w:p>
      <w:pPr>
        <w:pStyle w:val="Normal"/>
        <w:ind w:start="2160" w:end="0"/>
        <w:rPr>
          <w:sz w:val="24"/>
        </w:rPr>
      </w:pPr>
      <w:r>
        <w:rPr>
          <w:sz w:val="24"/>
        </w:rPr>
      </w:r>
    </w:p>
    <w:p>
      <w:pPr>
        <w:pStyle w:val="Normal"/>
        <w:ind w:start="2160" w:end="0"/>
        <w:rPr>
          <w:sz w:val="24"/>
        </w:rPr>
      </w:pPr>
      <w:r>
        <w:rPr>
          <w:sz w:val="24"/>
        </w:rPr>
        <w:t xml:space="preserve">Identifying opportunities, developing proposal strategies, negotiating contract awards and maintaining personal client relationships as senior account manager.   </w:t>
      </w:r>
    </w:p>
    <w:p>
      <w:pPr>
        <w:pStyle w:val="Normal"/>
        <w:rPr>
          <w:b/>
          <w:sz w:val="24"/>
        </w:rPr>
      </w:pPr>
      <w:r>
        <w:rPr>
          <w:b/>
          <w:sz w:val="24"/>
        </w:rPr>
      </w:r>
    </w:p>
    <w:p>
      <w:pPr>
        <w:pStyle w:val="Normal"/>
        <w:rPr/>
      </w:pPr>
      <w:r>
        <w:rPr/>
        <w:tab/>
        <w:tab/>
      </w:r>
    </w:p>
    <w:p>
      <w:pPr>
        <w:pStyle w:val="Heading2"/>
        <w:ind w:hanging="0" w:start="0"/>
        <w:rPr/>
      </w:pPr>
      <w:r>
        <w:rPr/>
        <w:t>EXPERIENCE</w:t>
      </w:r>
    </w:p>
    <w:p>
      <w:pPr>
        <w:pStyle w:val="Normal"/>
        <w:tabs>
          <w:tab w:val="clear" w:pos="720"/>
          <w:tab w:val="left" w:pos="0" w:leader="none"/>
        </w:tabs>
        <w:rPr>
          <w:sz w:val="24"/>
        </w:rPr>
      </w:pPr>
      <w:r>
        <w:rPr>
          <w:sz w:val="24"/>
        </w:rPr>
      </w:r>
    </w:p>
    <w:p>
      <w:pPr>
        <w:pStyle w:val="Normal"/>
        <w:tabs>
          <w:tab w:val="clear" w:pos="720"/>
          <w:tab w:val="left" w:pos="0" w:leader="none"/>
        </w:tabs>
        <w:rPr/>
      </w:pPr>
      <w:r>
        <w:rPr>
          <w:sz w:val="24"/>
        </w:rPr>
        <w:t xml:space="preserve">2001                            </w:t>
      </w:r>
      <w:r>
        <w:rPr>
          <w:sz w:val="24"/>
          <w:u w:val="single"/>
        </w:rPr>
        <w:t>Account Manager</w:t>
      </w:r>
      <w:r>
        <w:rPr>
          <w:sz w:val="24"/>
        </w:rPr>
        <w:t xml:space="preserve">, Enron Energy Services: Responsible for energy </w:t>
      </w:r>
    </w:p>
    <w:p>
      <w:pPr>
        <w:pStyle w:val="Normal"/>
        <w:tabs>
          <w:tab w:val="clear" w:pos="720"/>
          <w:tab w:val="left" w:pos="0" w:leader="none"/>
        </w:tabs>
        <w:rPr>
          <w:sz w:val="24"/>
        </w:rPr>
      </w:pPr>
      <w:r>
        <w:rPr>
          <w:sz w:val="24"/>
        </w:rPr>
        <w:t xml:space="preserve"> </w:t>
      </w:r>
      <w:r>
        <w:rPr>
          <w:sz w:val="24"/>
        </w:rPr>
        <w:tab/>
        <w:tab/>
        <w:tab/>
        <w:t>Services agreement ($470 Million) under negotiation with Litton</w:t>
      </w:r>
    </w:p>
    <w:p>
      <w:pPr>
        <w:pStyle w:val="Normal"/>
        <w:tabs>
          <w:tab w:val="clear" w:pos="720"/>
          <w:tab w:val="left" w:pos="0" w:leader="none"/>
        </w:tabs>
        <w:rPr>
          <w:sz w:val="24"/>
        </w:rPr>
      </w:pPr>
      <w:r>
        <w:rPr>
          <w:sz w:val="24"/>
        </w:rPr>
        <w:tab/>
        <w:tab/>
        <w:tab/>
        <w:t xml:space="preserve">Industries. Additional activities included development of standard </w:t>
      </w:r>
    </w:p>
    <w:p>
      <w:pPr>
        <w:pStyle w:val="Normal"/>
        <w:tabs>
          <w:tab w:val="clear" w:pos="720"/>
          <w:tab w:val="left" w:pos="0" w:leader="none"/>
        </w:tabs>
        <w:ind w:start="2160" w:end="0"/>
        <w:rPr>
          <w:sz w:val="24"/>
        </w:rPr>
      </w:pPr>
      <w:r>
        <w:rPr>
          <w:sz w:val="24"/>
        </w:rPr>
        <w:t>offering term sheet for energy outsourcing agreements and preparation of project closeout documentation for the Owens Corning deal.</w:t>
      </w:r>
    </w:p>
    <w:p>
      <w:pPr>
        <w:pStyle w:val="Normal"/>
        <w:tabs>
          <w:tab w:val="clear" w:pos="720"/>
          <w:tab w:val="left" w:pos="0" w:leader="none"/>
        </w:tabs>
        <w:ind w:start="2160" w:end="0"/>
        <w:rPr>
          <w:sz w:val="24"/>
        </w:rPr>
      </w:pPr>
      <w:r>
        <w:rPr>
          <w:sz w:val="24"/>
        </w:rPr>
        <w:t xml:space="preserve"> </w:t>
      </w:r>
    </w:p>
    <w:p>
      <w:pPr>
        <w:pStyle w:val="Normal"/>
        <w:numPr>
          <w:ilvl w:val="1"/>
          <w:numId w:val="5"/>
        </w:numPr>
        <w:tabs>
          <w:tab w:val="clear" w:pos="720"/>
          <w:tab w:val="left" w:pos="0" w:leader="none"/>
        </w:tabs>
        <w:rPr>
          <w:sz w:val="24"/>
        </w:rPr>
      </w:pPr>
      <w:r>
        <w:rPr>
          <w:sz w:val="24"/>
          <w:u w:val="single"/>
        </w:rPr>
        <w:t>Contracts Manager</w:t>
      </w:r>
      <w:r>
        <w:rPr>
          <w:sz w:val="24"/>
        </w:rPr>
        <w:t>, Enron Engineering and Construction Company: Responsible for EECC’s commercial operations which include managing contract professionals, negotiating contracts, managing project claims, furnishing commercial support for proposals and ongoing project execution. Major activities included: successful negotiation of Taking Over Agreements with Owners and Lenders for the UK Sutton Bridge Power Project ($600 Million) which produced a significant reduction in schedule LD exposure for Enron, together with related backstop Taking Over Agreements with Stone &amp; Webster and General Electric; finalized Settlement Agreements with both Stone &amp; Webster and General Electric which preserved Enron’s profit margin; and negotiated Taking Over Settlement Agreements (including LD and time extension claims) with the Owner of the first independent power project in Poland and Enron’s turnkey subcontractor (including LD and time extension claims).</w:t>
      </w:r>
    </w:p>
    <w:p>
      <w:pPr>
        <w:pStyle w:val="Normal"/>
        <w:tabs>
          <w:tab w:val="clear" w:pos="720"/>
          <w:tab w:val="left" w:pos="0" w:leader="none"/>
        </w:tabs>
        <w:rPr>
          <w:sz w:val="24"/>
        </w:rPr>
      </w:pPr>
      <w:r>
        <w:rPr>
          <w:sz w:val="24"/>
        </w:rPr>
      </w:r>
    </w:p>
    <w:p>
      <w:pPr>
        <w:pStyle w:val="Normal"/>
        <w:rPr>
          <w:b/>
          <w:sz w:val="24"/>
        </w:rPr>
      </w:pPr>
      <w:r>
        <w:rPr>
          <w:b/>
          <w:sz w:val="24"/>
        </w:rPr>
      </w:r>
    </w:p>
    <w:p>
      <w:pPr>
        <w:pStyle w:val="Normal"/>
        <w:numPr>
          <w:ilvl w:val="1"/>
          <w:numId w:val="2"/>
        </w:numPr>
        <w:rPr>
          <w:sz w:val="24"/>
        </w:rPr>
      </w:pPr>
      <w:r>
        <w:rPr>
          <w:sz w:val="24"/>
          <w:u w:val="single"/>
        </w:rPr>
        <w:t>Account Manager</w:t>
      </w:r>
      <w:r>
        <w:rPr>
          <w:sz w:val="24"/>
        </w:rPr>
        <w:t>, Bechtel Power Corporation: As Bechtel’s Account Manager for Enron, provided overall marketing intelligence, developed commercial proposal strategies and coordinated all commercial dealings for Bechtel’s worldwide business units.  Major activities included leading the contract negotiations for Phase II of the Dahbol Project ($1 Billion) together with Enron’s East Java power project in Indonesia ($250 Million).</w:t>
      </w:r>
    </w:p>
    <w:p>
      <w:pPr>
        <w:pStyle w:val="Normal"/>
        <w:rPr>
          <w:sz w:val="24"/>
          <w:u w:val="single"/>
        </w:rPr>
      </w:pPr>
      <w:r>
        <w:rPr>
          <w:sz w:val="24"/>
          <w:u w:val="single"/>
        </w:rPr>
      </w:r>
    </w:p>
    <w:p>
      <w:pPr>
        <w:pStyle w:val="Normal"/>
        <w:numPr>
          <w:ilvl w:val="1"/>
          <w:numId w:val="4"/>
        </w:numPr>
        <w:rPr>
          <w:sz w:val="24"/>
        </w:rPr>
      </w:pPr>
      <w:r>
        <w:rPr>
          <w:sz w:val="24"/>
          <w:u w:val="single"/>
        </w:rPr>
        <w:t>Commercial Director</w:t>
      </w:r>
      <w:r>
        <w:rPr>
          <w:sz w:val="24"/>
        </w:rPr>
        <w:t>, Bechtel Power Corporation: Provided principal support to the Project Director for the effective management and commercial administration of the Dahbol Project, including but not limited to change orders; opened and managed Bechtel’s Bombay office for Phase I of the Dahbol Project. Established ongoing relationships with local and national officials necessary to obtain and maintain all clearances and permits for Bechtel to do business in India.</w:t>
      </w:r>
    </w:p>
    <w:p>
      <w:pPr>
        <w:pStyle w:val="Normal"/>
        <w:rPr>
          <w:sz w:val="24"/>
          <w:u w:val="single"/>
        </w:rPr>
      </w:pPr>
      <w:r>
        <w:rPr>
          <w:sz w:val="24"/>
          <w:u w:val="single"/>
        </w:rPr>
      </w:r>
    </w:p>
    <w:p>
      <w:pPr>
        <w:pStyle w:val="Normal"/>
        <w:ind w:start="2160" w:end="0"/>
        <w:rPr>
          <w:sz w:val="24"/>
          <w:u w:val="single"/>
        </w:rPr>
      </w:pPr>
      <w:r>
        <w:rPr>
          <w:sz w:val="24"/>
          <w:u w:val="single"/>
        </w:rPr>
      </w:r>
    </w:p>
    <w:p>
      <w:pPr>
        <w:pStyle w:val="Normal"/>
        <w:ind w:hanging="2160" w:start="2160" w:end="0"/>
        <w:rPr/>
      </w:pPr>
      <w:r>
        <w:rPr>
          <w:sz w:val="24"/>
        </w:rPr>
        <w:t>1985-1993</w:t>
        <w:tab/>
      </w:r>
      <w:r>
        <w:rPr>
          <w:sz w:val="24"/>
          <w:u w:val="single"/>
        </w:rPr>
        <w:t>Principal Counsel</w:t>
      </w:r>
      <w:r>
        <w:rPr>
          <w:sz w:val="24"/>
        </w:rPr>
        <w:t>, Bechtel Power Corporation, (Gaithersburg, Maryland): Managed legal department and provided legal support to various Business Development/project teams in the successful financial closing and/or commercial operation for the following independent power projects:  Gilberton ($100 Million), Mt. Poso ($130 Million), Selkirk ($100 Million), Masspower ($200 Million), Chambers Works ($300 Million), Keystone ($350Million), Hartwell ($80 Million), and Dahbol– Phase I ($600 Million).  Assisted new lawyers in their growth as lawyers on various Bechtel projects.</w:t>
      </w:r>
    </w:p>
    <w:p>
      <w:pPr>
        <w:pStyle w:val="Normal"/>
        <w:ind w:hanging="2160" w:start="2160" w:end="0"/>
        <w:rPr>
          <w:sz w:val="24"/>
          <w:u w:val="single"/>
        </w:rPr>
      </w:pPr>
      <w:r>
        <w:rPr>
          <w:sz w:val="24"/>
          <w:u w:val="single"/>
        </w:rPr>
        <w:t xml:space="preserve">               </w:t>
      </w:r>
    </w:p>
    <w:p>
      <w:pPr>
        <w:pStyle w:val="Normal"/>
        <w:ind w:hanging="2160" w:start="2160" w:end="0"/>
        <w:rPr/>
      </w:pPr>
      <w:r>
        <w:rPr>
          <w:sz w:val="24"/>
        </w:rPr>
        <w:t>1981-1985</w:t>
        <w:tab/>
      </w:r>
      <w:r>
        <w:rPr>
          <w:sz w:val="24"/>
          <w:u w:val="single"/>
        </w:rPr>
        <w:t>Regional Counsel</w:t>
      </w:r>
      <w:r>
        <w:rPr>
          <w:sz w:val="24"/>
        </w:rPr>
        <w:t>, Stone &amp; Webster Engineering Corporation (Boston, MA): Responsible for legal affairs for Denver and Houston offices. Provided legal support for various overseas projects.  Set up South African office in partnership with a South African engineering firm.  Negotiated domestic and international contracts and consortium agreements.</w:t>
      </w:r>
    </w:p>
    <w:p>
      <w:pPr>
        <w:pStyle w:val="Normal"/>
        <w:ind w:start="2160" w:end="0"/>
        <w:rPr>
          <w:sz w:val="24"/>
        </w:rPr>
      </w:pPr>
      <w:r>
        <w:rPr>
          <w:sz w:val="24"/>
        </w:rPr>
      </w:r>
    </w:p>
    <w:p>
      <w:pPr>
        <w:pStyle w:val="Normal"/>
        <w:ind w:hanging="2160" w:start="2160" w:end="0"/>
        <w:rPr/>
      </w:pPr>
      <w:r>
        <w:rPr>
          <w:sz w:val="24"/>
        </w:rPr>
        <w:t>1978-1980</w:t>
        <w:tab/>
      </w:r>
      <w:r>
        <w:rPr>
          <w:sz w:val="24"/>
          <w:u w:val="single"/>
        </w:rPr>
        <w:t>Company Secretary</w:t>
      </w:r>
      <w:r>
        <w:rPr>
          <w:sz w:val="24"/>
        </w:rPr>
        <w:t>, Stone &amp; Webster Engineering Limited, (London, England): Responsible for legal and insurance affairs for the European offices located in London and the Hague covering projects throughout Europe and Mid-East.</w:t>
      </w:r>
    </w:p>
    <w:p>
      <w:pPr>
        <w:pStyle w:val="Normal"/>
        <w:rPr>
          <w:sz w:val="24"/>
        </w:rPr>
      </w:pPr>
      <w:r>
        <w:rPr>
          <w:sz w:val="24"/>
        </w:rPr>
      </w:r>
    </w:p>
    <w:p>
      <w:pPr>
        <w:pStyle w:val="Normal"/>
        <w:numPr>
          <w:ilvl w:val="1"/>
          <w:numId w:val="3"/>
        </w:numPr>
        <w:rPr>
          <w:sz w:val="24"/>
        </w:rPr>
      </w:pPr>
      <w:r>
        <w:rPr>
          <w:sz w:val="24"/>
          <w:u w:val="single"/>
        </w:rPr>
        <w:t>Counsel,</w:t>
      </w:r>
      <w:r>
        <w:rPr>
          <w:sz w:val="24"/>
        </w:rPr>
        <w:t xml:space="preserve"> Bechtel Corporation (San Francisco and London):  Drafting of contracts, contract administration, coordination of claims and litigation for both government contracts (DOE) and</w:t>
      </w:r>
    </w:p>
    <w:p>
      <w:pPr>
        <w:pStyle w:val="BodyTextIndent2"/>
        <w:rPr/>
      </w:pPr>
      <w:r>
        <w:rPr/>
        <w:t>U. S. clients.  Negotiation of contracts for international projects, foreign company registrations, contract administration, coordination of claims and litigation.</w:t>
      </w:r>
    </w:p>
    <w:p>
      <w:pPr>
        <w:pStyle w:val="Normal"/>
        <w:rPr>
          <w:sz w:val="24"/>
        </w:rPr>
      </w:pPr>
      <w:r>
        <w:rPr>
          <w:sz w:val="24"/>
        </w:rPr>
      </w:r>
    </w:p>
    <w:p>
      <w:pPr>
        <w:pStyle w:val="Normal"/>
        <w:rPr>
          <w:sz w:val="24"/>
        </w:rPr>
      </w:pPr>
      <w:r>
        <w:rPr>
          <w:sz w:val="24"/>
        </w:rPr>
      </w:r>
    </w:p>
    <w:p>
      <w:pPr>
        <w:pStyle w:val="Normal"/>
        <w:ind w:hanging="2160" w:start="2160" w:end="0"/>
        <w:rPr>
          <w:sz w:val="24"/>
        </w:rPr>
      </w:pPr>
      <w:r>
        <w:rPr>
          <w:sz w:val="24"/>
        </w:rPr>
      </w:r>
    </w:p>
    <w:p>
      <w:pPr>
        <w:pStyle w:val="Normal"/>
        <w:rPr>
          <w:sz w:val="24"/>
        </w:rPr>
      </w:pPr>
      <w:r>
        <w:rPr>
          <w:sz w:val="24"/>
        </w:rPr>
      </w:r>
    </w:p>
    <w:p>
      <w:pPr>
        <w:pStyle w:val="Normal"/>
        <w:rPr>
          <w:sz w:val="24"/>
        </w:rPr>
      </w:pPr>
      <w:r>
        <w:rPr>
          <w:sz w:val="24"/>
        </w:rPr>
      </w:r>
    </w:p>
    <w:p>
      <w:pPr>
        <w:pStyle w:val="Normal"/>
        <w:rPr/>
      </w:pPr>
      <w:r>
        <w:rPr>
          <w:b/>
          <w:sz w:val="24"/>
        </w:rPr>
        <w:t xml:space="preserve">EDUCATION            </w:t>
      </w:r>
      <w:r>
        <w:rPr>
          <w:sz w:val="24"/>
        </w:rPr>
        <w:t>HASTINGS LAW SCHOOL, UNIVERSITY OFCALIFORNIA</w:t>
      </w:r>
    </w:p>
    <w:p>
      <w:pPr>
        <w:pStyle w:val="Normal"/>
        <w:ind w:firstLine="720" w:start="1440" w:end="0"/>
        <w:rPr>
          <w:sz w:val="24"/>
        </w:rPr>
      </w:pPr>
      <w:r>
        <w:rPr>
          <w:sz w:val="24"/>
        </w:rPr>
        <w:t xml:space="preserve">Degree:  Juris Doctor (J.D.) </w:t>
      </w:r>
    </w:p>
    <w:p>
      <w:pPr>
        <w:pStyle w:val="Normal"/>
        <w:rPr>
          <w:sz w:val="24"/>
        </w:rPr>
      </w:pPr>
      <w:r>
        <w:rPr>
          <w:sz w:val="24"/>
        </w:rPr>
      </w:r>
    </w:p>
    <w:p>
      <w:pPr>
        <w:pStyle w:val="Normal"/>
        <w:rPr>
          <w:sz w:val="24"/>
        </w:rPr>
      </w:pPr>
      <w:r>
        <w:rPr>
          <w:sz w:val="24"/>
        </w:rPr>
        <w:tab/>
        <w:tab/>
        <w:tab/>
        <w:t>UNIVERSITY OF MARYLAND</w:t>
      </w:r>
    </w:p>
    <w:p>
      <w:pPr>
        <w:pStyle w:val="Normal"/>
        <w:rPr>
          <w:sz w:val="24"/>
        </w:rPr>
      </w:pPr>
      <w:r>
        <w:rPr>
          <w:sz w:val="24"/>
        </w:rPr>
        <w:tab/>
        <w:tab/>
        <w:tab/>
        <w:t xml:space="preserve">Degree:  BSME, Mechanical Engineering </w:t>
      </w:r>
    </w:p>
    <w:p>
      <w:pPr>
        <w:pStyle w:val="Normal"/>
        <w:rPr>
          <w:sz w:val="24"/>
        </w:rPr>
      </w:pPr>
      <w:r>
        <w:rPr>
          <w:sz w:val="24"/>
        </w:rPr>
      </w:r>
    </w:p>
    <w:p>
      <w:pPr>
        <w:pStyle w:val="Normal"/>
        <w:ind w:hanging="2160" w:start="2160" w:end="0"/>
        <w:rPr>
          <w:sz w:val="24"/>
        </w:rPr>
      </w:pPr>
      <w:r>
        <w:rPr>
          <w:sz w:val="24"/>
        </w:rPr>
      </w:r>
    </w:p>
    <w:p>
      <w:pPr>
        <w:pStyle w:val="Normal"/>
        <w:ind w:hanging="2160" w:start="2160" w:end="0"/>
        <w:rPr>
          <w:b/>
          <w:sz w:val="24"/>
        </w:rPr>
      </w:pPr>
      <w:r>
        <w:rPr>
          <w:b/>
          <w:sz w:val="24"/>
        </w:rPr>
      </w:r>
    </w:p>
    <w:p>
      <w:pPr>
        <w:pStyle w:val="Normal"/>
        <w:ind w:hanging="2160" w:start="2160" w:end="0"/>
        <w:rPr>
          <w:b/>
          <w:sz w:val="24"/>
        </w:rPr>
      </w:pPr>
      <w:r>
        <w:rPr>
          <w:b/>
          <w:sz w:val="24"/>
        </w:rPr>
      </w:r>
    </w:p>
    <w:p>
      <w:pPr>
        <w:pStyle w:val="Normal"/>
        <w:ind w:hanging="2160" w:start="2160" w:end="0"/>
        <w:rPr/>
      </w:pPr>
      <w:r>
        <w:rPr/>
        <w:t>MEMBERSHIPS: State Bar of California</w:t>
        <w:tab/>
        <w:tab/>
        <w:tab/>
        <w:tab/>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997"/>
      <w:numFmt w:val="decimal"/>
      <w:lvlText w:val="%1"/>
      <w:lvlJc w:val="start"/>
      <w:pPr>
        <w:tabs>
          <w:tab w:val="num" w:pos="2160"/>
        </w:tabs>
        <w:ind w:start="2160" w:hanging="2160"/>
      </w:pPr>
      <w:rPr/>
    </w:lvl>
    <w:lvl w:ilvl="1">
      <w:start w:val="1999"/>
      <w:numFmt w:val="decimal"/>
      <w:lvlText w:val="%1-%2"/>
      <w:lvlJc w:val="start"/>
      <w:pPr>
        <w:tabs>
          <w:tab w:val="num" w:pos="2160"/>
        </w:tabs>
        <w:ind w:start="2160" w:hanging="2160"/>
      </w:pPr>
      <w:rPr/>
    </w:lvl>
    <w:lvl w:ilvl="2">
      <w:start w:val="1"/>
      <w:numFmt w:val="decimal"/>
      <w:lvlText w:val="%1-%2.%3"/>
      <w:lvlJc w:val="start"/>
      <w:pPr>
        <w:tabs>
          <w:tab w:val="num" w:pos="2160"/>
        </w:tabs>
        <w:ind w:start="2160" w:hanging="2160"/>
      </w:pPr>
      <w:rPr/>
    </w:lvl>
    <w:lvl w:ilvl="3">
      <w:start w:val="1"/>
      <w:numFmt w:val="decimal"/>
      <w:lvlText w:val="%1-%2.%3.%4"/>
      <w:lvlJc w:val="start"/>
      <w:pPr>
        <w:tabs>
          <w:tab w:val="num" w:pos="2160"/>
        </w:tabs>
        <w:ind w:start="2160" w:hanging="2160"/>
      </w:pPr>
      <w:rPr/>
    </w:lvl>
    <w:lvl w:ilvl="4">
      <w:start w:val="1"/>
      <w:numFmt w:val="decimal"/>
      <w:lvlText w:val="%1-%2.%3.%4.%5"/>
      <w:lvlJc w:val="start"/>
      <w:pPr>
        <w:tabs>
          <w:tab w:val="num" w:pos="2160"/>
        </w:tabs>
        <w:ind w:start="2160" w:hanging="2160"/>
      </w:pPr>
      <w:rPr/>
    </w:lvl>
    <w:lvl w:ilvl="5">
      <w:start w:val="1"/>
      <w:numFmt w:val="decimal"/>
      <w:lvlText w:val="%1-%2.%3.%4.%5.%6"/>
      <w:lvlJc w:val="start"/>
      <w:pPr>
        <w:tabs>
          <w:tab w:val="num" w:pos="2160"/>
        </w:tabs>
        <w:ind w:start="2160" w:hanging="2160"/>
      </w:pPr>
      <w:rPr/>
    </w:lvl>
    <w:lvl w:ilvl="6">
      <w:start w:val="1"/>
      <w:numFmt w:val="decimal"/>
      <w:lvlText w:val="%1-%2.%3.%4.%5.%6.%7"/>
      <w:lvlJc w:val="start"/>
      <w:pPr>
        <w:tabs>
          <w:tab w:val="num" w:pos="2160"/>
        </w:tabs>
        <w:ind w:start="2160" w:hanging="2160"/>
      </w:pPr>
      <w:rPr/>
    </w:lvl>
    <w:lvl w:ilvl="7">
      <w:start w:val="1"/>
      <w:numFmt w:val="decimal"/>
      <w:lvlText w:val="%1-%2.%3.%4.%5.%6.%7.%8"/>
      <w:lvlJc w:val="start"/>
      <w:pPr>
        <w:tabs>
          <w:tab w:val="num" w:pos="2160"/>
        </w:tabs>
        <w:ind w:start="2160" w:hanging="2160"/>
      </w:pPr>
      <w:rPr/>
    </w:lvl>
    <w:lvl w:ilvl="8">
      <w:start w:val="1"/>
      <w:numFmt w:val="decimal"/>
      <w:lvlText w:val="%1-%2.%3.%4.%5.%6.%7.%8.%9"/>
      <w:lvlJc w:val="start"/>
      <w:pPr>
        <w:tabs>
          <w:tab w:val="num" w:pos="2160"/>
        </w:tabs>
        <w:ind w:start="2160" w:hanging="2160"/>
      </w:pPr>
      <w:rPr/>
    </w:lvl>
  </w:abstractNum>
  <w:abstractNum w:abstractNumId="3">
    <w:lvl w:ilvl="0">
      <w:start w:val="1974"/>
      <w:numFmt w:val="decimal"/>
      <w:lvlText w:val="%1"/>
      <w:lvlJc w:val="start"/>
      <w:pPr>
        <w:tabs>
          <w:tab w:val="num" w:pos="2160"/>
        </w:tabs>
        <w:ind w:start="2160" w:hanging="2160"/>
      </w:pPr>
      <w:rPr/>
    </w:lvl>
    <w:lvl w:ilvl="1">
      <w:start w:val="1976"/>
      <w:numFmt w:val="decimal"/>
      <w:lvlText w:val="%1-%2"/>
      <w:lvlJc w:val="start"/>
      <w:pPr>
        <w:tabs>
          <w:tab w:val="num" w:pos="2160"/>
        </w:tabs>
        <w:ind w:start="2160" w:hanging="2160"/>
      </w:pPr>
      <w:rPr/>
    </w:lvl>
    <w:lvl w:ilvl="2">
      <w:start w:val="1"/>
      <w:numFmt w:val="decimal"/>
      <w:lvlText w:val="%1-%2.%3"/>
      <w:lvlJc w:val="start"/>
      <w:pPr>
        <w:tabs>
          <w:tab w:val="num" w:pos="2160"/>
        </w:tabs>
        <w:ind w:start="2160" w:hanging="2160"/>
      </w:pPr>
      <w:rPr/>
    </w:lvl>
    <w:lvl w:ilvl="3">
      <w:start w:val="1"/>
      <w:numFmt w:val="decimal"/>
      <w:lvlText w:val="%1-%2.%3.%4"/>
      <w:lvlJc w:val="start"/>
      <w:pPr>
        <w:tabs>
          <w:tab w:val="num" w:pos="2160"/>
        </w:tabs>
        <w:ind w:start="2160" w:hanging="2160"/>
      </w:pPr>
      <w:rPr/>
    </w:lvl>
    <w:lvl w:ilvl="4">
      <w:start w:val="1"/>
      <w:numFmt w:val="decimal"/>
      <w:lvlText w:val="%1-%2.%3.%4.%5"/>
      <w:lvlJc w:val="start"/>
      <w:pPr>
        <w:tabs>
          <w:tab w:val="num" w:pos="2160"/>
        </w:tabs>
        <w:ind w:start="2160" w:hanging="2160"/>
      </w:pPr>
      <w:rPr/>
    </w:lvl>
    <w:lvl w:ilvl="5">
      <w:start w:val="1"/>
      <w:numFmt w:val="decimal"/>
      <w:lvlText w:val="%1-%2.%3.%4.%5.%6"/>
      <w:lvlJc w:val="start"/>
      <w:pPr>
        <w:tabs>
          <w:tab w:val="num" w:pos="2160"/>
        </w:tabs>
        <w:ind w:start="2160" w:hanging="2160"/>
      </w:pPr>
      <w:rPr/>
    </w:lvl>
    <w:lvl w:ilvl="6">
      <w:start w:val="1"/>
      <w:numFmt w:val="decimal"/>
      <w:lvlText w:val="%1-%2.%3.%4.%5.%6.%7"/>
      <w:lvlJc w:val="start"/>
      <w:pPr>
        <w:tabs>
          <w:tab w:val="num" w:pos="2160"/>
        </w:tabs>
        <w:ind w:start="2160" w:hanging="2160"/>
      </w:pPr>
      <w:rPr/>
    </w:lvl>
    <w:lvl w:ilvl="7">
      <w:start w:val="1"/>
      <w:numFmt w:val="decimal"/>
      <w:lvlText w:val="%1-%2.%3.%4.%5.%6.%7.%8"/>
      <w:lvlJc w:val="start"/>
      <w:pPr>
        <w:tabs>
          <w:tab w:val="num" w:pos="2160"/>
        </w:tabs>
        <w:ind w:start="2160" w:hanging="2160"/>
      </w:pPr>
      <w:rPr/>
    </w:lvl>
    <w:lvl w:ilvl="8">
      <w:start w:val="1"/>
      <w:numFmt w:val="decimal"/>
      <w:lvlText w:val="%1-%2.%3.%4.%5.%6.%7.%8.%9"/>
      <w:lvlJc w:val="start"/>
      <w:pPr>
        <w:tabs>
          <w:tab w:val="num" w:pos="2160"/>
        </w:tabs>
        <w:ind w:start="2160" w:hanging="2160"/>
      </w:pPr>
      <w:rPr/>
    </w:lvl>
  </w:abstractNum>
  <w:abstractNum w:abstractNumId="4">
    <w:lvl w:ilvl="0">
      <w:start w:val="1994"/>
      <w:numFmt w:val="decimal"/>
      <w:lvlText w:val="%1"/>
      <w:lvlJc w:val="start"/>
      <w:pPr>
        <w:tabs>
          <w:tab w:val="num" w:pos="2160"/>
        </w:tabs>
        <w:ind w:start="2160" w:hanging="2160"/>
      </w:pPr>
      <w:rPr/>
    </w:lvl>
    <w:lvl w:ilvl="1">
      <w:start w:val="1996"/>
      <w:numFmt w:val="decimal"/>
      <w:lvlText w:val="%1-%2"/>
      <w:lvlJc w:val="start"/>
      <w:pPr>
        <w:tabs>
          <w:tab w:val="num" w:pos="2160"/>
        </w:tabs>
        <w:ind w:start="2160" w:hanging="2160"/>
      </w:pPr>
      <w:rPr/>
    </w:lvl>
    <w:lvl w:ilvl="2">
      <w:start w:val="1"/>
      <w:numFmt w:val="decimal"/>
      <w:lvlText w:val="%1-%2.%3"/>
      <w:lvlJc w:val="start"/>
      <w:pPr>
        <w:tabs>
          <w:tab w:val="num" w:pos="2160"/>
        </w:tabs>
        <w:ind w:start="2160" w:hanging="2160"/>
      </w:pPr>
      <w:rPr/>
    </w:lvl>
    <w:lvl w:ilvl="3">
      <w:start w:val="1"/>
      <w:numFmt w:val="decimal"/>
      <w:lvlText w:val="%1-%2.%3.%4"/>
      <w:lvlJc w:val="start"/>
      <w:pPr>
        <w:tabs>
          <w:tab w:val="num" w:pos="2160"/>
        </w:tabs>
        <w:ind w:start="2160" w:hanging="2160"/>
      </w:pPr>
      <w:rPr/>
    </w:lvl>
    <w:lvl w:ilvl="4">
      <w:start w:val="1"/>
      <w:numFmt w:val="decimal"/>
      <w:lvlText w:val="%1-%2.%3.%4.%5"/>
      <w:lvlJc w:val="start"/>
      <w:pPr>
        <w:tabs>
          <w:tab w:val="num" w:pos="2160"/>
        </w:tabs>
        <w:ind w:start="2160" w:hanging="2160"/>
      </w:pPr>
      <w:rPr/>
    </w:lvl>
    <w:lvl w:ilvl="5">
      <w:start w:val="1"/>
      <w:numFmt w:val="decimal"/>
      <w:lvlText w:val="%1-%2.%3.%4.%5.%6"/>
      <w:lvlJc w:val="start"/>
      <w:pPr>
        <w:tabs>
          <w:tab w:val="num" w:pos="2160"/>
        </w:tabs>
        <w:ind w:start="2160" w:hanging="2160"/>
      </w:pPr>
      <w:rPr/>
    </w:lvl>
    <w:lvl w:ilvl="6">
      <w:start w:val="1"/>
      <w:numFmt w:val="decimal"/>
      <w:lvlText w:val="%1-%2.%3.%4.%5.%6.%7"/>
      <w:lvlJc w:val="start"/>
      <w:pPr>
        <w:tabs>
          <w:tab w:val="num" w:pos="2160"/>
        </w:tabs>
        <w:ind w:start="2160" w:hanging="2160"/>
      </w:pPr>
      <w:rPr/>
    </w:lvl>
    <w:lvl w:ilvl="7">
      <w:start w:val="1"/>
      <w:numFmt w:val="decimal"/>
      <w:lvlText w:val="%1-%2.%3.%4.%5.%6.%7.%8"/>
      <w:lvlJc w:val="start"/>
      <w:pPr>
        <w:tabs>
          <w:tab w:val="num" w:pos="2160"/>
        </w:tabs>
        <w:ind w:start="2160" w:hanging="2160"/>
      </w:pPr>
      <w:rPr/>
    </w:lvl>
    <w:lvl w:ilvl="8">
      <w:start w:val="1"/>
      <w:numFmt w:val="decimal"/>
      <w:lvlText w:val="%1-%2.%3.%4.%5.%6.%7.%8.%9"/>
      <w:lvlJc w:val="start"/>
      <w:pPr>
        <w:tabs>
          <w:tab w:val="num" w:pos="2160"/>
        </w:tabs>
        <w:ind w:start="2160" w:hanging="2160"/>
      </w:pPr>
      <w:rPr/>
    </w:lvl>
  </w:abstractNum>
  <w:abstractNum w:abstractNumId="5">
    <w:lvl w:ilvl="0">
      <w:start w:val="1999"/>
      <w:numFmt w:val="decimal"/>
      <w:lvlText w:val="%1"/>
      <w:lvlJc w:val="start"/>
      <w:pPr>
        <w:tabs>
          <w:tab w:val="num" w:pos="2160"/>
        </w:tabs>
        <w:ind w:start="2160" w:hanging="2160"/>
      </w:pPr>
      <w:rPr/>
    </w:lvl>
    <w:lvl w:ilvl="1">
      <w:start w:val="2000"/>
      <w:numFmt w:val="decimal"/>
      <w:lvlText w:val="%1-%2"/>
      <w:lvlJc w:val="start"/>
      <w:pPr>
        <w:tabs>
          <w:tab w:val="num" w:pos="2160"/>
        </w:tabs>
        <w:ind w:start="2160" w:hanging="2160"/>
      </w:pPr>
      <w:rPr/>
    </w:lvl>
    <w:lvl w:ilvl="2">
      <w:start w:val="1"/>
      <w:numFmt w:val="decimal"/>
      <w:lvlText w:val="%1-%2.%3"/>
      <w:lvlJc w:val="start"/>
      <w:pPr>
        <w:tabs>
          <w:tab w:val="num" w:pos="2160"/>
        </w:tabs>
        <w:ind w:start="2160" w:hanging="2160"/>
      </w:pPr>
      <w:rPr/>
    </w:lvl>
    <w:lvl w:ilvl="3">
      <w:start w:val="1"/>
      <w:numFmt w:val="decimal"/>
      <w:lvlText w:val="%1-%2.%3.%4"/>
      <w:lvlJc w:val="start"/>
      <w:pPr>
        <w:tabs>
          <w:tab w:val="num" w:pos="2160"/>
        </w:tabs>
        <w:ind w:start="2160" w:hanging="2160"/>
      </w:pPr>
      <w:rPr/>
    </w:lvl>
    <w:lvl w:ilvl="4">
      <w:start w:val="1"/>
      <w:numFmt w:val="decimal"/>
      <w:lvlText w:val="%1-%2.%3.%4.%5"/>
      <w:lvlJc w:val="start"/>
      <w:pPr>
        <w:tabs>
          <w:tab w:val="num" w:pos="2160"/>
        </w:tabs>
        <w:ind w:start="2160" w:hanging="2160"/>
      </w:pPr>
      <w:rPr/>
    </w:lvl>
    <w:lvl w:ilvl="5">
      <w:start w:val="1"/>
      <w:numFmt w:val="decimal"/>
      <w:lvlText w:val="%1-%2.%3.%4.%5.%6"/>
      <w:lvlJc w:val="start"/>
      <w:pPr>
        <w:tabs>
          <w:tab w:val="num" w:pos="2160"/>
        </w:tabs>
        <w:ind w:start="2160" w:hanging="2160"/>
      </w:pPr>
      <w:rPr/>
    </w:lvl>
    <w:lvl w:ilvl="6">
      <w:start w:val="1"/>
      <w:numFmt w:val="decimal"/>
      <w:lvlText w:val="%1-%2.%3.%4.%5.%6.%7"/>
      <w:lvlJc w:val="start"/>
      <w:pPr>
        <w:tabs>
          <w:tab w:val="num" w:pos="2160"/>
        </w:tabs>
        <w:ind w:start="2160" w:hanging="2160"/>
      </w:pPr>
      <w:rPr/>
    </w:lvl>
    <w:lvl w:ilvl="7">
      <w:start w:val="1"/>
      <w:numFmt w:val="decimal"/>
      <w:lvlText w:val="%1-%2.%3.%4.%5.%6.%7.%8"/>
      <w:lvlJc w:val="start"/>
      <w:pPr>
        <w:tabs>
          <w:tab w:val="num" w:pos="2160"/>
        </w:tabs>
        <w:ind w:start="2160" w:hanging="2160"/>
      </w:pPr>
      <w:rPr/>
    </w:lvl>
    <w:lvl w:ilvl="8">
      <w:start w:val="1"/>
      <w:numFmt w:val="decimal"/>
      <w:lvlText w:val="%1-%2.%3.%4.%5.%6.%7.%8.%9"/>
      <w:lvlJc w:val="start"/>
      <w:pPr>
        <w:tabs>
          <w:tab w:val="num" w:pos="2160"/>
        </w:tabs>
        <w:ind w:start="2160" w:hanging="21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style>
  <w:style w:type="paragraph" w:styleId="BodyTextIndent2">
    <w:name w:val="Body Text Indent 2"/>
    <w:basedOn w:val="Normal"/>
    <w:qFormat/>
    <w:pPr>
      <w:ind w:firstLine="60" w:start="216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2001-04-06T13:19:00Z</dcterms:created>
  <dc:creator>Edward Giblin</dc:creator>
  <dc:description/>
  <dc:language>en-CA</dc:language>
  <cp:lastModifiedBy>egiblin</cp:lastModifiedBy>
  <cp:lastPrinted>2001-04-06T10:44:00Z</cp:lastPrinted>
  <dcterms:modified xsi:type="dcterms:W3CDTF">2001-04-06T13:22:00Z</dcterms:modified>
  <cp:revision>3</cp:revision>
  <dc:subject/>
  <dc:title/>
</cp:coreProperties>
</file>