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spacing w:before="100" w:after="100"/>
        <w:rPr/>
      </w:pPr>
      <w:r>
        <w:rPr/>
        <w:tab/>
      </w:r>
    </w:p>
    <w:tbl>
      <w:tblPr>
        <w:tblW w:w="11208" w:type="dxa"/>
        <w:jc w:val="start"/>
        <w:tblInd w:w="108" w:type="dxa"/>
        <w:tblLayout w:type="fixed"/>
        <w:tblCellMar>
          <w:top w:w="0" w:type="dxa"/>
          <w:start w:w="108" w:type="dxa"/>
          <w:bottom w:w="0" w:type="dxa"/>
          <w:end w:w="108" w:type="dxa"/>
        </w:tblCellMar>
      </w:tblPr>
      <w:tblGrid>
        <w:gridCol w:w="1620"/>
        <w:gridCol w:w="9588"/>
      </w:tblGrid>
      <w:tr>
        <w:trPr/>
        <w:tc>
          <w:tcPr>
            <w:tcW w:w="1620"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Discussion Items/Countries</w:t>
            </w:r>
          </w:p>
        </w:tc>
        <w:tc>
          <w:tcPr>
            <w:tcW w:w="9588"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GERMANY</w:t>
            </w:r>
          </w:p>
        </w:tc>
      </w:tr>
      <w:tr>
        <w:trPr>
          <w:trHeight w:val="360" w:hRule="atLeast"/>
        </w:trPr>
        <w:tc>
          <w:tcPr>
            <w:tcW w:w="1620"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Background</w:t>
            </w:r>
          </w:p>
        </w:tc>
        <w:tc>
          <w:tcPr>
            <w:tcW w:w="9588"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Europe’s largest country with over 82 MM people and the world’s third largest economy after the US and Japan. Reunited with East Germany after 45 years of separation bringing both potential growth and integration problems to the new country that may take decades to resolve. Massive industrial and capital base with a GDP of over $2.19 trillion. Historically low inflation currently in the range of 1%, but relatively high unemployment levels of 10.9%.</w:t>
            </w:r>
          </w:p>
        </w:tc>
      </w:tr>
      <w:tr>
        <w:trPr/>
        <w:tc>
          <w:tcPr>
            <w:tcW w:w="1620"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Current Fiscal Policy</w:t>
            </w:r>
          </w:p>
        </w:tc>
        <w:tc>
          <w:tcPr>
            <w:tcW w:w="9588"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Focused on maintaining a budget deficit lower than the Maastricht ceiling of 3% of GDP.  Historically high transfer payments in the form of Social Security and Unemployment benefits which need to be reduced.  Tax revenues lower than expected because of inefficiencies in collection process.</w:t>
            </w:r>
          </w:p>
          <w:p>
            <w:pPr>
              <w:pStyle w:val="Normal"/>
              <w:spacing w:before="100" w:after="100"/>
              <w:rPr>
                <w:sz w:val="20"/>
              </w:rPr>
            </w:pPr>
            <w:r>
              <w:rPr>
                <w:sz w:val="20"/>
              </w:rPr>
              <w:t>Fiscal policy provides transfers from wealthy states to poorer areas in order to equilibrate revenue per capita throughout the entire country.</w:t>
            </w:r>
          </w:p>
        </w:tc>
      </w:tr>
      <w:tr>
        <w:trPr/>
        <w:tc>
          <w:tcPr>
            <w:tcW w:w="1620"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Current Monetary Policy</w:t>
            </w:r>
          </w:p>
        </w:tc>
        <w:tc>
          <w:tcPr>
            <w:tcW w:w="9588"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Monetary policy controlled by European Central bank.  Concern over "one size fits all interest rate policy".  Low real rates to spur expansion.  Target growth for M3 is in the 3 to 6 percent range.</w:t>
            </w:r>
          </w:p>
        </w:tc>
      </w:tr>
      <w:tr>
        <w:trPr/>
        <w:tc>
          <w:tcPr>
            <w:tcW w:w="1620"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Unemployment</w:t>
            </w:r>
          </w:p>
        </w:tc>
        <w:tc>
          <w:tcPr>
            <w:tcW w:w="9588"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High unemployment levels at 10.9% currently.  NAIRU is estimated to be approximately 9 1/2% but should decline as labor is used more productively.  Labor is expensive in Germany because of benefits structure.  However, better in-firm training and a better use of the country's free education system for the purposes of recruiting new workers could lower unemployment in the both younger and more elderly age groups.</w:t>
            </w:r>
          </w:p>
        </w:tc>
      </w:tr>
      <w:tr>
        <w:trPr/>
        <w:tc>
          <w:tcPr>
            <w:tcW w:w="1620"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Inflation</w:t>
            </w:r>
          </w:p>
        </w:tc>
        <w:tc>
          <w:tcPr>
            <w:tcW w:w="9588"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Low inflation levels currently around 1%.</w:t>
            </w:r>
          </w:p>
        </w:tc>
      </w:tr>
      <w:tr>
        <w:trPr/>
        <w:tc>
          <w:tcPr>
            <w:tcW w:w="1620"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GDP/Growth/</w:t>
            </w:r>
          </w:p>
          <w:p>
            <w:pPr>
              <w:pStyle w:val="Normal"/>
              <w:spacing w:before="100" w:after="100"/>
              <w:rPr>
                <w:sz w:val="20"/>
              </w:rPr>
            </w:pPr>
            <w:r>
              <w:rPr>
                <w:sz w:val="20"/>
              </w:rPr>
              <w:t>Productivity</w:t>
            </w:r>
          </w:p>
        </w:tc>
        <w:tc>
          <w:tcPr>
            <w:tcW w:w="9588"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GDP is expected to grow by almost 3% in 1999.  Factor productivity has been key but questions regarding its consistency for the future have risen.  Therefore, current growth rates may not be sustainable.</w:t>
            </w:r>
          </w:p>
        </w:tc>
      </w:tr>
      <w:tr>
        <w:trPr/>
        <w:tc>
          <w:tcPr>
            <w:tcW w:w="1620"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Exch. Rate/Policy</w:t>
            </w:r>
          </w:p>
        </w:tc>
        <w:tc>
          <w:tcPr>
            <w:tcW w:w="9588"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Currency pegged to the Euro.</w:t>
            </w:r>
          </w:p>
        </w:tc>
      </w:tr>
      <w:tr>
        <w:trPr/>
        <w:tc>
          <w:tcPr>
            <w:tcW w:w="1620"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Trade</w:t>
            </w:r>
          </w:p>
        </w:tc>
        <w:tc>
          <w:tcPr>
            <w:tcW w:w="9588" w:type="dxa"/>
            <w:tcBorders>
              <w:top w:val="threeDEmboss" w:sz="6" w:space="0" w:color="000000"/>
              <w:start w:val="threeDEmboss" w:sz="6" w:space="0" w:color="000000"/>
              <w:bottom w:val="threeDEmboss" w:sz="6" w:space="0" w:color="000000"/>
              <w:end w:val="threeDEmboss" w:sz="6" w:space="0" w:color="000000"/>
            </w:tcBorders>
          </w:tcPr>
          <w:p>
            <w:pPr>
              <w:pStyle w:val="Normal"/>
              <w:snapToGrid w:val="false"/>
              <w:spacing w:before="100" w:after="100"/>
              <w:rPr>
                <w:sz w:val="20"/>
              </w:rPr>
            </w:pPr>
            <w:r>
              <w:rPr>
                <w:sz w:val="20"/>
              </w:rPr>
            </w:r>
          </w:p>
        </w:tc>
      </w:tr>
      <w:tr>
        <w:trPr>
          <w:trHeight w:val="636" w:hRule="atLeast"/>
        </w:trPr>
        <w:tc>
          <w:tcPr>
            <w:tcW w:w="1620"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Political Situation</w:t>
            </w:r>
          </w:p>
        </w:tc>
        <w:tc>
          <w:tcPr>
            <w:tcW w:w="9588"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Government under pressure to increase social spending in the areas of pension and employment benefits but regulated by the Maastricht Treaty.</w:t>
            </w:r>
          </w:p>
        </w:tc>
      </w:tr>
      <w:tr>
        <w:trPr>
          <w:trHeight w:val="636" w:hRule="atLeast"/>
        </w:trPr>
        <w:tc>
          <w:tcPr>
            <w:tcW w:w="1620"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CapitalFlow/Mobility</w:t>
            </w:r>
          </w:p>
        </w:tc>
        <w:tc>
          <w:tcPr>
            <w:tcW w:w="9588"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 xml:space="preserve">Low real rates make for a potentially efficient capital flow structure.  However the entrepreneurial climate needs to be improved.  Regulatory, employment and transfer requirements have reduced overall investment </w:t>
            </w:r>
          </w:p>
        </w:tc>
      </w:tr>
      <w:tr>
        <w:trPr>
          <w:trHeight w:val="636" w:hRule="atLeast"/>
        </w:trPr>
        <w:tc>
          <w:tcPr>
            <w:tcW w:w="1620"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Short Run /Threats/</w:t>
            </w:r>
          </w:p>
          <w:p>
            <w:pPr>
              <w:pStyle w:val="Normal"/>
              <w:spacing w:before="100" w:after="100"/>
              <w:rPr>
                <w:sz w:val="20"/>
              </w:rPr>
            </w:pPr>
            <w:r>
              <w:rPr>
                <w:sz w:val="20"/>
              </w:rPr>
              <w:t>Possible Solutions</w:t>
            </w:r>
          </w:p>
        </w:tc>
        <w:tc>
          <w:tcPr>
            <w:tcW w:w="9588"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Threats: Crucial for fiscal policy to achieve declines in the budget deficit as outlined by the Maastricht treaty.  Despite pressure to increase public sector spending, the size of government has to shrink.</w:t>
            </w:r>
          </w:p>
          <w:p>
            <w:pPr>
              <w:pStyle w:val="Normal"/>
              <w:rPr>
                <w:sz w:val="20"/>
              </w:rPr>
            </w:pPr>
            <w:r>
              <w:rPr>
                <w:sz w:val="20"/>
              </w:rPr>
              <w:t>Significant tax reform as well as transfer payment policies are needed.  Tax avoidance is still a major problem because of high marginal rates.</w:t>
            </w:r>
          </w:p>
          <w:p>
            <w:pPr>
              <w:pStyle w:val="Normal"/>
              <w:spacing w:before="100" w:after="100"/>
              <w:rPr>
                <w:sz w:val="20"/>
              </w:rPr>
            </w:pPr>
            <w:r>
              <w:rPr>
                <w:sz w:val="20"/>
              </w:rPr>
              <w:t>Healthcare and pension reform is needed especially in the areas where supplementary private coverage can augment a person's benefits.</w:t>
            </w:r>
          </w:p>
        </w:tc>
      </w:tr>
      <w:tr>
        <w:trPr>
          <w:trHeight w:val="636" w:hRule="atLeast"/>
        </w:trPr>
        <w:tc>
          <w:tcPr>
            <w:tcW w:w="1620"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Long Run/Threats/</w:t>
            </w:r>
          </w:p>
          <w:p>
            <w:pPr>
              <w:pStyle w:val="Normal"/>
              <w:spacing w:before="100" w:after="100"/>
              <w:rPr>
                <w:sz w:val="20"/>
              </w:rPr>
            </w:pPr>
            <w:r>
              <w:rPr>
                <w:sz w:val="20"/>
              </w:rPr>
              <w:t>Possible Solutions</w:t>
            </w:r>
          </w:p>
        </w:tc>
        <w:tc>
          <w:tcPr>
            <w:tcW w:w="9588" w:type="dxa"/>
            <w:tcBorders>
              <w:top w:val="threeDEmboss" w:sz="6" w:space="0" w:color="000000"/>
              <w:start w:val="threeDEmboss" w:sz="6" w:space="0" w:color="000000"/>
              <w:bottom w:val="threeDEmboss" w:sz="6" w:space="0" w:color="000000"/>
              <w:end w:val="threeDEmboss" w:sz="6" w:space="0" w:color="000000"/>
            </w:tcBorders>
          </w:tcPr>
          <w:p>
            <w:pPr>
              <w:pStyle w:val="Normal"/>
              <w:spacing w:before="100" w:after="100"/>
              <w:rPr>
                <w:sz w:val="20"/>
              </w:rPr>
            </w:pPr>
            <w:r>
              <w:rPr>
                <w:sz w:val="20"/>
              </w:rPr>
              <w:t>Federal Government is extremely inefficient especially at lower levels requiring better budget and employment management.</w:t>
            </w:r>
          </w:p>
          <w:p>
            <w:pPr>
              <w:pStyle w:val="Normal"/>
              <w:rPr>
                <w:sz w:val="20"/>
              </w:rPr>
            </w:pPr>
            <w:r>
              <w:rPr>
                <w:sz w:val="20"/>
              </w:rPr>
              <w:t>The integration of the former East Germany remains the largest long-term priority.  Currently, transfer payments to the East have been inefficiently used and need to be monitored.  Animosity exists between states as the government continues to tax the wealthy at high marginal rates.</w:t>
            </w:r>
          </w:p>
          <w:p>
            <w:pPr>
              <w:pStyle w:val="Normal"/>
              <w:spacing w:before="100" w:after="100"/>
              <w:rPr>
                <w:sz w:val="20"/>
              </w:rPr>
            </w:pPr>
            <w:r>
              <w:rPr>
                <w:sz w:val="20"/>
              </w:rPr>
              <w:t>Bottom line:  Reunification has become painful and slow for Europe's largest economy.</w:t>
            </w:r>
          </w:p>
        </w:tc>
      </w:tr>
    </w:tbl>
    <w:p>
      <w:pPr>
        <w:pStyle w:val="Normal"/>
        <w:widowControl w:val="false"/>
        <w:bidi w:val="0"/>
        <w:spacing w:before="100" w:after="100"/>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1999-12-13T13:44:00Z</dcterms:created>
  <dc:creator>Aaron Mendelson</dc:creator>
  <dc:description/>
  <dc:language>en-CA</dc:language>
  <cp:lastModifiedBy>Aaron Mendelson</cp:lastModifiedBy>
  <dcterms:modified xsi:type="dcterms:W3CDTF">1999-12-13T13:44:00Z</dcterms:modified>
  <cp:revision>2</cp:revision>
  <dc:subject/>
  <dc:title>Brazil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