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21" w:type="dxa"/>
        <w:jc w:val="center"/>
        <w:tblInd w:w="0" w:type="dxa"/>
        <w:tblLayout w:type="fixed"/>
        <w:tblCellMar>
          <w:top w:w="0" w:type="dxa"/>
          <w:start w:w="108" w:type="dxa"/>
          <w:bottom w:w="0" w:type="dxa"/>
          <w:end w:w="108" w:type="dxa"/>
        </w:tblCellMar>
      </w:tblPr>
      <w:tblGrid>
        <w:gridCol w:w="1242"/>
        <w:gridCol w:w="3118"/>
        <w:gridCol w:w="3119"/>
        <w:gridCol w:w="1241"/>
        <w:gridCol w:w="1"/>
      </w:tblGrid>
      <w:tr>
        <w:trPr>
          <w:trHeight w:val="280" w:hRule="atLeast"/>
        </w:trPr>
        <w:tc>
          <w:tcPr>
            <w:tcW w:w="4360" w:type="dxa"/>
            <w:gridSpan w:val="2"/>
            <w:tcBorders/>
          </w:tcPr>
          <w:p>
            <w:pPr>
              <w:pStyle w:val="COVERPAGE"/>
              <w:snapToGrid w:val="false"/>
              <w:rPr/>
            </w:pPr>
            <w:r>
              <w:rPr/>
            </w:r>
          </w:p>
        </w:tc>
        <w:tc>
          <w:tcPr>
            <w:tcW w:w="4360" w:type="dxa"/>
            <w:gridSpan w:val="2"/>
            <w:tcBorders/>
          </w:tcPr>
          <w:p>
            <w:pPr>
              <w:pStyle w:val="COVERPAGE"/>
              <w:snapToGrid w:val="false"/>
              <w:jc w:val="end"/>
              <w:rPr/>
            </w:pPr>
            <w:r>
              <w:rPr/>
            </w:r>
          </w:p>
        </w:tc>
      </w:tr>
      <w:tr>
        <w:trPr>
          <w:trHeight w:val="280" w:hRule="atLeast"/>
        </w:trPr>
        <w:tc>
          <w:tcPr>
            <w:tcW w:w="4360" w:type="dxa"/>
            <w:gridSpan w:val="2"/>
            <w:tcBorders/>
          </w:tcPr>
          <w:p>
            <w:pPr>
              <w:pStyle w:val="COVERPAGE"/>
              <w:snapToGrid w:val="false"/>
              <w:rPr/>
            </w:pPr>
            <w:r>
              <w:rPr/>
            </w:r>
          </w:p>
        </w:tc>
        <w:tc>
          <w:tcPr>
            <w:tcW w:w="4360" w:type="dxa"/>
            <w:gridSpan w:val="2"/>
            <w:tcBorders/>
          </w:tcPr>
          <w:p>
            <w:pPr>
              <w:pStyle w:val="COVERPAGE"/>
              <w:snapToGrid w:val="false"/>
              <w:jc w:val="end"/>
              <w:rPr/>
            </w:pPr>
            <w:r>
              <w:rPr/>
            </w:r>
          </w:p>
        </w:tc>
      </w:tr>
      <w:tr>
        <w:trPr>
          <w:trHeight w:val="574" w:hRule="atLeast"/>
        </w:trPr>
        <w:tc>
          <w:tcPr>
            <w:tcW w:w="4360" w:type="dxa"/>
            <w:gridSpan w:val="2"/>
            <w:tcBorders/>
          </w:tcPr>
          <w:p>
            <w:pPr>
              <w:pStyle w:val="COVERPAGE"/>
              <w:snapToGrid w:val="false"/>
              <w:rPr/>
            </w:pPr>
            <w:r>
              <w:rPr/>
            </w:r>
          </w:p>
        </w:tc>
        <w:tc>
          <w:tcPr>
            <w:tcW w:w="4360" w:type="dxa"/>
            <w:gridSpan w:val="2"/>
            <w:tcBorders/>
          </w:tcPr>
          <w:p>
            <w:pPr>
              <w:pStyle w:val="COVERPAGE"/>
              <w:snapToGrid w:val="false"/>
              <w:jc w:val="end"/>
              <w:rPr>
                <w:vanish/>
              </w:rPr>
            </w:pPr>
            <w:r>
              <w:rPr>
                <w:vanish/>
              </w:rPr>
            </w:r>
          </w:p>
        </w:tc>
      </w:tr>
      <w:tr>
        <w:trPr>
          <w:trHeight w:val="1134" w:hRule="atLeast"/>
        </w:trPr>
        <w:tc>
          <w:tcPr>
            <w:tcW w:w="8720" w:type="dxa"/>
            <w:gridSpan w:val="4"/>
            <w:tcBorders/>
          </w:tcPr>
          <w:p>
            <w:pPr>
              <w:pStyle w:val="COVERPAGE"/>
              <w:jc w:val="center"/>
              <w:rPr>
                <w:b/>
              </w:rPr>
            </w:pPr>
            <w:r>
              <w:rPr>
                <w:b/>
              </w:rPr>
              <w:t>STRICTLY PRIVATE AND CONFIDENTIAL</w:t>
            </w:r>
          </w:p>
        </w:tc>
      </w:tr>
      <w:tr>
        <w:trPr>
          <w:trHeight w:val="1600" w:hRule="atLeast"/>
        </w:trPr>
        <w:tc>
          <w:tcPr>
            <w:tcW w:w="8720" w:type="dxa"/>
            <w:gridSpan w:val="4"/>
            <w:tcBorders/>
          </w:tcPr>
          <w:p>
            <w:pPr>
              <w:pStyle w:val="COVERPAGE"/>
              <w:snapToGrid w:val="false"/>
              <w:jc w:val="center"/>
              <w:rPr>
                <w:b/>
                <w:caps/>
              </w:rPr>
            </w:pPr>
            <w:r>
              <w:rPr>
                <w:b/>
                <w:caps/>
              </w:rPr>
            </w:r>
          </w:p>
        </w:tc>
      </w:tr>
      <w:tr>
        <w:trPr>
          <w:trHeight w:val="2400" w:hRule="atLeast"/>
        </w:trPr>
        <w:tc>
          <w:tcPr>
            <w:tcW w:w="8720" w:type="dxa"/>
            <w:gridSpan w:val="4"/>
            <w:tcBorders/>
          </w:tcPr>
          <w:p>
            <w:pPr>
              <w:pStyle w:val="COVERPAGE"/>
              <w:snapToGrid w:val="false"/>
              <w:spacing w:before="0" w:after="240"/>
              <w:jc w:val="center"/>
              <w:rPr>
                <w:caps/>
              </w:rPr>
            </w:pPr>
            <w:r>
              <w:rPr>
                <w:caps/>
              </w:rPr>
            </w:r>
          </w:p>
        </w:tc>
      </w:tr>
      <w:tr>
        <w:trPr>
          <w:trHeight w:val="1400" w:hRule="atLeast"/>
        </w:trPr>
        <w:tc>
          <w:tcPr>
            <w:tcW w:w="1242" w:type="dxa"/>
            <w:tcBorders/>
          </w:tcPr>
          <w:p>
            <w:pPr>
              <w:pStyle w:val="COVERPAGE"/>
              <w:snapToGrid w:val="false"/>
              <w:rPr>
                <w:caps/>
              </w:rPr>
            </w:pPr>
            <w:r>
              <w:rPr>
                <w:caps/>
              </w:rPr>
            </w:r>
          </w:p>
        </w:tc>
        <w:tc>
          <w:tcPr>
            <w:tcW w:w="6237" w:type="dxa"/>
            <w:gridSpan w:val="2"/>
            <w:tcBorders>
              <w:top w:val="single" w:sz="4" w:space="0" w:color="000000"/>
              <w:bottom w:val="single" w:sz="4" w:space="0" w:color="000000"/>
            </w:tcBorders>
            <w:vAlign w:val="center"/>
          </w:tcPr>
          <w:p>
            <w:pPr>
              <w:pStyle w:val="COVERPAGE"/>
              <w:jc w:val="center"/>
              <w:rPr>
                <w:b/>
                <w:caps/>
              </w:rPr>
            </w:pPr>
            <w:r>
              <w:rPr>
                <w:b/>
                <w:caps/>
              </w:rPr>
              <w:t>ENRON COMMUNICATIONS, INC.</w:t>
            </w:r>
          </w:p>
          <w:p>
            <w:pPr>
              <w:pStyle w:val="COVERPAGE"/>
              <w:jc w:val="center"/>
              <w:rPr>
                <w:b/>
                <w:caps/>
              </w:rPr>
            </w:pPr>
            <w:r>
              <w:rPr>
                <w:b/>
                <w:caps/>
              </w:rPr>
              <w:t>SURVEY OF THE LAWS OF germany</w:t>
            </w:r>
          </w:p>
          <w:p>
            <w:pPr>
              <w:pStyle w:val="COVERPAGE"/>
              <w:jc w:val="center"/>
              <w:rPr>
                <w:b/>
                <w:caps/>
              </w:rPr>
            </w:pPr>
            <w:r>
              <w:rPr>
                <w:b/>
                <w:caps/>
              </w:rPr>
              <w:t>REGARDING Network Development AND Content Distribution</w:t>
            </w:r>
          </w:p>
        </w:tc>
        <w:tc>
          <w:tcPr>
            <w:tcW w:w="1242" w:type="dxa"/>
            <w:tcBorders/>
          </w:tcPr>
          <w:p>
            <w:pPr>
              <w:pStyle w:val="COVERPAGE"/>
              <w:snapToGrid w:val="false"/>
              <w:rPr>
                <w:b/>
                <w:caps/>
              </w:rPr>
            </w:pPr>
            <w:r>
              <w:rPr>
                <w:b/>
                <w:caps/>
              </w:rPr>
            </w:r>
          </w:p>
        </w:tc>
      </w:tr>
    </w:tbl>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sectPr>
          <w:footerReference w:type="default" r:id="rId2"/>
          <w:type w:val="nextPage"/>
          <w:pgSz w:w="11906" w:h="16838"/>
          <w:pgMar w:left="1701" w:right="1701" w:gutter="0" w:header="0" w:top="567" w:footer="1701" w:bottom="1757"/>
          <w:pgNumType w:fmt="decimal"/>
          <w:formProt w:val="false"/>
          <w:textDirection w:val="lrTb"/>
          <w:docGrid w:type="default" w:linePitch="360" w:charSpace="0"/>
        </w:sectPr>
        <w:pStyle w:val="Normal"/>
        <w:ind w:start="360" w:end="0"/>
        <w:jc w:val="center"/>
        <w:rPr>
          <w:b/>
        </w:rPr>
      </w:pPr>
      <w:r>
        <w:rPr>
          <w:b/>
        </w:rPr>
        <w:t>22 DECEMBER 1999</w:t>
      </w:r>
    </w:p>
    <w:tbl>
      <w:tblPr>
        <w:tblW w:w="8720" w:type="dxa"/>
        <w:jc w:val="start"/>
        <w:tblInd w:w="360" w:type="dxa"/>
        <w:tblLayout w:type="fixed"/>
        <w:tblCellMar>
          <w:top w:w="0" w:type="dxa"/>
          <w:start w:w="108" w:type="dxa"/>
          <w:bottom w:w="0" w:type="dxa"/>
          <w:end w:w="108" w:type="dxa"/>
        </w:tblCellMar>
      </w:tblPr>
      <w:tblGrid>
        <w:gridCol w:w="4355"/>
        <w:gridCol w:w="4355"/>
        <w:gridCol w:w="10"/>
      </w:tblGrid>
      <w:tr>
        <w:trPr/>
        <w:tc>
          <w:tcPr>
            <w:tcW w:w="8720" w:type="dxa"/>
            <w:gridSpan w:val="2"/>
            <w:tcBorders/>
          </w:tcPr>
          <w:p>
            <w:pPr>
              <w:pStyle w:val="Normal"/>
              <w:snapToGrid w:val="false"/>
              <w:spacing w:before="0" w:after="300"/>
              <w:jc w:val="center"/>
              <w:rPr>
                <w:b/>
              </w:rPr>
            </w:pPr>
            <w:r>
              <w:rPr>
                <w:b/>
              </w:rPr>
            </w:r>
          </w:p>
          <w:p>
            <w:pPr>
              <w:pStyle w:val="Normal"/>
              <w:spacing w:before="0" w:after="300"/>
              <w:jc w:val="center"/>
              <w:rPr>
                <w:b/>
              </w:rPr>
            </w:pPr>
            <w:r>
              <w:rPr>
                <w:b/>
              </w:rPr>
              <w:t>CONTENTS</w:t>
            </w:r>
          </w:p>
        </w:tc>
      </w:tr>
      <w:tr>
        <w:trPr/>
        <w:tc>
          <w:tcPr>
            <w:tcW w:w="4355" w:type="dxa"/>
            <w:tcBorders/>
          </w:tcPr>
          <w:p>
            <w:pPr>
              <w:pStyle w:val="Normal"/>
              <w:spacing w:before="0" w:after="300"/>
              <w:jc w:val="start"/>
              <w:rPr>
                <w:b/>
              </w:rPr>
            </w:pPr>
            <w:r>
              <w:rPr>
                <w:b/>
              </w:rPr>
              <w:t>Section</w:t>
            </w:r>
          </w:p>
        </w:tc>
        <w:tc>
          <w:tcPr>
            <w:tcW w:w="4355" w:type="dxa"/>
            <w:tcBorders/>
          </w:tcPr>
          <w:p>
            <w:pPr>
              <w:pStyle w:val="Normal"/>
              <w:spacing w:before="0" w:after="300"/>
              <w:jc w:val="end"/>
              <w:rPr>
                <w:b/>
              </w:rPr>
            </w:pPr>
            <w:r>
              <w:rPr>
                <w:b/>
              </w:rPr>
              <w:t>Page</w:t>
            </w:r>
          </w:p>
        </w:tc>
      </w:tr>
    </w:tbl>
    <w:p>
      <w:pPr>
        <w:pStyle w:val="Titleoftrans"/>
        <w:jc w:val="both"/>
        <w:rPr/>
      </w:pPr>
      <w:r>
        <w:rPr/>
      </w:r>
      <w:bookmarkStart w:id="0" w:name="TOC"/>
      <w:bookmarkStart w:id="1" w:name="TOC"/>
      <w:bookmarkEnd w:id="1"/>
    </w:p>
    <w:p>
      <w:pPr>
        <w:sectPr>
          <w:headerReference w:type="default" r:id="rId3"/>
          <w:headerReference w:type="first" r:id="rId4"/>
          <w:footerReference w:type="default" r:id="rId5"/>
          <w:footerReference w:type="first" r:id="rId6"/>
          <w:type w:val="nextPage"/>
          <w:pgSz w:w="11906" w:h="16838"/>
          <w:pgMar w:left="1701" w:right="1701" w:gutter="0" w:header="720" w:top="776" w:footer="284" w:bottom="1134"/>
          <w:pgNumType w:fmt="decimal"/>
          <w:formProt w:val="false"/>
          <w:titlePg/>
          <w:textDirection w:val="lrTb"/>
          <w:docGrid w:type="default" w:linePitch="299" w:charSpace="0"/>
        </w:sectPr>
        <w:pStyle w:val="Titleoftrans"/>
        <w:jc w:val="both"/>
        <w:rPr/>
      </w:pPr>
      <w:r>
        <w:rPr/>
      </w:r>
    </w:p>
    <w:p>
      <w:pPr>
        <w:pStyle w:val="RightTab"/>
        <w:ind w:start="360" w:end="0"/>
        <w:rPr>
          <w:kern w:val="2"/>
        </w:rPr>
      </w:pPr>
      <w:r>
        <w:rPr>
          <w:kern w:val="2"/>
        </w:rPr>
        <w:tab/>
        <w:t>22 December 1999</w:t>
      </w:r>
    </w:p>
    <w:p>
      <w:pPr>
        <w:pStyle w:val="Normal"/>
        <w:ind w:start="360" w:end="0"/>
        <w:rPr>
          <w:kern w:val="2"/>
        </w:rPr>
      </w:pPr>
      <w:r>
        <w:rPr>
          <w:kern w:val="2"/>
        </w:rPr>
      </w:r>
    </w:p>
    <w:p>
      <w:pPr>
        <w:pStyle w:val="COVERPAGE"/>
        <w:ind w:start="360" w:end="0"/>
        <w:jc w:val="center"/>
        <w:rPr>
          <w:b/>
          <w:caps/>
        </w:rPr>
      </w:pPr>
      <w:r>
        <w:rPr>
          <w:b/>
          <w:caps/>
        </w:rPr>
        <w:t>ENRON COMMUNICATIONS, INC.</w:t>
      </w:r>
    </w:p>
    <w:p>
      <w:pPr>
        <w:pStyle w:val="COVERPAGE"/>
        <w:ind w:start="360" w:end="0"/>
        <w:jc w:val="center"/>
        <w:rPr>
          <w:b/>
          <w:caps/>
        </w:rPr>
      </w:pPr>
      <w:r>
        <w:rPr>
          <w:b/>
          <w:caps/>
        </w:rPr>
      </w:r>
    </w:p>
    <w:p>
      <w:pPr>
        <w:pStyle w:val="COVERPAGE"/>
        <w:ind w:start="360" w:end="0"/>
        <w:jc w:val="center"/>
        <w:rPr>
          <w:b/>
          <w:caps/>
        </w:rPr>
      </w:pPr>
      <w:r>
        <w:rPr>
          <w:b/>
          <w:caps/>
        </w:rPr>
        <w:t>SURVEY OF THE LAWS OF germany</w:t>
      </w:r>
    </w:p>
    <w:p>
      <w:pPr>
        <w:pStyle w:val="Normal"/>
        <w:ind w:start="360" w:end="0"/>
        <w:jc w:val="center"/>
        <w:rPr>
          <w:kern w:val="2"/>
        </w:rPr>
      </w:pPr>
      <w:r>
        <w:rPr>
          <w:b/>
          <w:caps/>
        </w:rPr>
        <w:t>REGARDING Network Development AND Content Distribution</w:t>
      </w:r>
    </w:p>
    <w:p>
      <w:pPr>
        <w:pStyle w:val="Heading1"/>
        <w:ind w:hanging="0" w:start="0"/>
        <w:rPr>
          <w:kern w:val="2"/>
        </w:rPr>
      </w:pPr>
      <w:r>
        <w:rPr>
          <w:kern w:val="2"/>
        </w:rPr>
        <w:t>INTRODUCTION</w:t>
      </w:r>
    </w:p>
    <w:p>
      <w:pPr>
        <w:pStyle w:val="BodyText"/>
        <w:numPr>
          <w:ilvl w:val="0"/>
          <w:numId w:val="12"/>
        </w:numPr>
        <w:ind w:hanging="360" w:start="660" w:end="0"/>
        <w:rPr/>
      </w:pPr>
      <w:r>
        <w:rPr/>
        <w:t>Enron Communications, Inc. ("</w:t>
      </w:r>
      <w:r>
        <w:rPr>
          <w:b/>
        </w:rPr>
        <w:t>ECI</w:t>
      </w:r>
      <w:r>
        <w:rPr/>
        <w:t>") has asked that we provide responses to the questions set out in the Survey of the Laws of Germany regarding Network Development and Content Distribution (the "</w:t>
      </w:r>
      <w:r>
        <w:rPr>
          <w:b/>
        </w:rPr>
        <w:t>Survey Questionnaire</w:t>
      </w:r>
      <w:r>
        <w:rPr/>
        <w:t>", attached as Annex 1 to this Report), in connection with the setting up of a European network which will initially connect London, Amsterdam, Paris and Frankfurt as well as connectivity between the United States and Europe, and the obtaining and distribution of content over this network.</w:t>
      </w:r>
    </w:p>
    <w:p>
      <w:pPr>
        <w:pStyle w:val="Heading1"/>
        <w:ind w:hanging="0" w:start="0"/>
        <w:rPr>
          <w:kern w:val="2"/>
        </w:rPr>
      </w:pPr>
      <w:r>
        <w:rPr>
          <w:kern w:val="2"/>
        </w:rPr>
        <w:t>SCOPE OF SURVEY</w:t>
      </w:r>
    </w:p>
    <w:p>
      <w:pPr>
        <w:pStyle w:val="Heading2"/>
        <w:ind w:hanging="0" w:start="0"/>
        <w:rPr/>
      </w:pPr>
      <w:r>
        <w:rPr/>
        <w:t xml:space="preserve">Introduction </w:t>
      </w:r>
    </w:p>
    <w:p>
      <w:pPr>
        <w:pStyle w:val="BodyText"/>
        <w:numPr>
          <w:ilvl w:val="0"/>
          <w:numId w:val="12"/>
        </w:numPr>
        <w:ind w:hanging="360" w:start="660" w:end="0"/>
        <w:rPr/>
      </w:pPr>
      <w:r>
        <w:rPr/>
        <w:t xml:space="preserve">We have conducted the survey of the laws of Germany in accordance with the Survey Questionnaire, and on the basis of our review of the documents and information provided by ECI.  This Report sets out our responses to the Survey Questionnaire. </w:t>
      </w:r>
    </w:p>
    <w:p>
      <w:pPr>
        <w:pStyle w:val="BodyText"/>
        <w:numPr>
          <w:ilvl w:val="0"/>
          <w:numId w:val="12"/>
        </w:numPr>
        <w:ind w:hanging="360" w:start="660" w:end="0"/>
        <w:rPr/>
      </w:pPr>
      <w:r>
        <w:rPr/>
        <w:t xml:space="preserve">This Report should be used by ECI solely for its use in connection with the intended network development and content distribution and ECI should not rely on it for any other purpose.  </w:t>
      </w:r>
    </w:p>
    <w:p>
      <w:pPr>
        <w:pStyle w:val="Heading2"/>
        <w:ind w:hanging="0" w:start="0"/>
        <w:rPr>
          <w:kern w:val="2"/>
        </w:rPr>
      </w:pPr>
      <w:r>
        <w:rPr>
          <w:kern w:val="2"/>
        </w:rPr>
        <w:t>Extent of survey</w:t>
      </w:r>
    </w:p>
    <w:p>
      <w:pPr>
        <w:pStyle w:val="BodyText"/>
        <w:numPr>
          <w:ilvl w:val="0"/>
          <w:numId w:val="12"/>
        </w:numPr>
        <w:ind w:hanging="360" w:start="660" w:end="0"/>
        <w:rPr>
          <w:kern w:val="2"/>
        </w:rPr>
      </w:pPr>
      <w:r>
        <w:rPr>
          <w:kern w:val="2"/>
        </w:rPr>
        <w:t xml:space="preserve">The survey </w:t>
      </w:r>
      <w:r>
        <w:rPr/>
        <w:t>responses</w:t>
      </w:r>
      <w:r>
        <w:rPr>
          <w:kern w:val="2"/>
        </w:rPr>
        <w:t xml:space="preserve"> have been prepared on the basis of the information contained in the </w:t>
      </w:r>
      <w:r>
        <w:rPr/>
        <w:t>Survey Questionnaire</w:t>
      </w:r>
      <w:r>
        <w:rPr>
          <w:kern w:val="2"/>
        </w:rPr>
        <w:t xml:space="preserve">, and we have assumed that the </w:t>
      </w:r>
      <w:r>
        <w:rPr/>
        <w:t xml:space="preserve">“Background and Business Description” therein </w:t>
      </w:r>
      <w:r>
        <w:rPr>
          <w:kern w:val="2"/>
        </w:rPr>
        <w:t>contains all factual information which has a bearing on the questions in the Survey Questionnaire.</w:t>
      </w:r>
    </w:p>
    <w:p>
      <w:pPr>
        <w:pStyle w:val="Heading2"/>
        <w:ind w:hanging="0" w:start="0"/>
        <w:rPr>
          <w:kern w:val="2"/>
        </w:rPr>
      </w:pPr>
      <w:r>
        <w:rPr>
          <w:kern w:val="2"/>
        </w:rPr>
        <w:t>Assumptions</w:t>
      </w:r>
    </w:p>
    <w:p>
      <w:pPr>
        <w:pStyle w:val="BodyText"/>
        <w:numPr>
          <w:ilvl w:val="0"/>
          <w:numId w:val="12"/>
        </w:numPr>
        <w:ind w:hanging="360" w:start="660" w:end="0"/>
        <w:rPr>
          <w:kern w:val="2"/>
        </w:rPr>
      </w:pPr>
      <w:r>
        <w:rPr>
          <w:kern w:val="2"/>
        </w:rPr>
        <w:t xml:space="preserve">We have not advised on the </w:t>
      </w:r>
      <w:r>
        <w:rPr/>
        <w:t>laws</w:t>
      </w:r>
      <w:r>
        <w:rPr>
          <w:kern w:val="2"/>
        </w:rPr>
        <w:t xml:space="preserve"> of any jurisdiction in this Report other than those of Germany which are in effect at the date of this Report.  </w:t>
      </w:r>
    </w:p>
    <w:p>
      <w:pPr>
        <w:pStyle w:val="BodyText"/>
        <w:numPr>
          <w:ilvl w:val="0"/>
          <w:numId w:val="12"/>
        </w:numPr>
        <w:ind w:hanging="360" w:start="660" w:end="0"/>
        <w:rPr/>
      </w:pPr>
      <w:r>
        <w:rPr/>
        <w:t>On the basis of the “Background and Business Description” of the Survey Questionnaire, we have based this Report on the following assumptions:</w:t>
      </w:r>
    </w:p>
    <w:p>
      <w:pPr>
        <w:pStyle w:val="squarebullet"/>
        <w:numPr>
          <w:ilvl w:val="0"/>
          <w:numId w:val="26"/>
        </w:numPr>
        <w:tabs>
          <w:tab w:val="clear" w:pos="720"/>
        </w:tabs>
        <w:ind w:hanging="440" w:start="1100" w:end="0"/>
        <w:rPr/>
      </w:pPr>
      <w:r>
        <w:rPr/>
        <w:t xml:space="preserve">ECI may or may not intend to establish a separate entity in Germany. </w:t>
      </w:r>
    </w:p>
    <w:p>
      <w:pPr>
        <w:pStyle w:val="squarebullet"/>
        <w:numPr>
          <w:ilvl w:val="0"/>
          <w:numId w:val="26"/>
        </w:numPr>
        <w:tabs>
          <w:tab w:val="clear" w:pos="720"/>
        </w:tabs>
        <w:ind w:hanging="440" w:start="1100" w:end="0"/>
        <w:rPr/>
      </w:pPr>
      <w:r>
        <w:rPr/>
        <w:t xml:space="preserve">The business activities to be carried out by ECI involve ECI acting as a type of “wholeseller” with regard to content distribution. </w:t>
      </w:r>
    </w:p>
    <w:p>
      <w:pPr>
        <w:pStyle w:val="squarebullet"/>
        <w:numPr>
          <w:ilvl w:val="0"/>
          <w:numId w:val="26"/>
        </w:numPr>
        <w:tabs>
          <w:tab w:val="clear" w:pos="720"/>
        </w:tabs>
        <w:ind w:hanging="440" w:start="1100" w:end="0"/>
        <w:rPr/>
      </w:pPr>
      <w:r>
        <w:rPr/>
        <w:t>The content will be obtained from content providers and will be distributed by ECI over its network and handed over to other (local) content distributors, which may be internet service providers (“ISPs”). However, the “Background and Business Description” also allows the assumption, that ECIs’ distribution customers may not only be ISP but also end-customers.</w:t>
      </w:r>
    </w:p>
    <w:p>
      <w:pPr>
        <w:pStyle w:val="BodyText"/>
        <w:numPr>
          <w:ilvl w:val="0"/>
          <w:numId w:val="12"/>
        </w:numPr>
        <w:ind w:hanging="360" w:start="1100" w:end="0"/>
        <w:rPr/>
      </w:pPr>
      <w:r>
        <w:rPr/>
        <w:t xml:space="preserve">We have also assumed the acquisition of capacity and rights on fibre optic cables, satellites and undersea cables only relates to ECIs’ backbone network and not to distribution of the content to end-customers. With regard to trading or reselling access capacity, we assume that the term "trading" would mean the transfer of the right to obtain delivery of bandwidth or the transfer of an entire bandwidth supply agreement to a third party, whereas "reselling" would involve ECI selling access to bandwidth capacity under its own name to a third party. </w:t>
      </w:r>
    </w:p>
    <w:p>
      <w:pPr>
        <w:pStyle w:val="BodyText"/>
        <w:numPr>
          <w:ilvl w:val="0"/>
          <w:numId w:val="28"/>
        </w:numPr>
        <w:tabs>
          <w:tab w:val="clear" w:pos="720"/>
        </w:tabs>
        <w:ind w:hanging="440" w:start="1100" w:end="0"/>
        <w:rPr/>
      </w:pPr>
      <w:r>
        <w:rPr/>
        <w:t>Further, we understand the provision of e-commerce sales and services to be hosting of Internet shops, operating and/or administering e-commerce orders by end-customers on behalf of e-commerce merchants or under its own name, and technical management of payment transactions (such as enquiries with credit card organisations to obtain authorisations for e-commerce sales).</w:t>
      </w:r>
    </w:p>
    <w:p>
      <w:pPr>
        <w:pStyle w:val="BodyText"/>
        <w:numPr>
          <w:ilvl w:val="0"/>
          <w:numId w:val="26"/>
        </w:numPr>
        <w:tabs>
          <w:tab w:val="clear" w:pos="720"/>
        </w:tabs>
        <w:ind w:hanging="440" w:start="1100" w:end="0"/>
        <w:rPr/>
      </w:pPr>
      <w:r>
        <w:rPr/>
        <w:t>ECI does not offer any voice telephony service, including voice over IP, or other operator-assisted or switched dial-tone services.</w:t>
      </w:r>
    </w:p>
    <w:p>
      <w:pPr>
        <w:pStyle w:val="BodyText"/>
        <w:numPr>
          <w:ilvl w:val="0"/>
          <w:numId w:val="12"/>
        </w:numPr>
        <w:ind w:hanging="360" w:start="660" w:end="0"/>
        <w:rPr/>
      </w:pPr>
      <w:r>
        <w:rPr/>
        <w:t>Based on these assumptions the survey hereunder, i.e. the answers to the various questions will be structured to consider to core activity of content distribution on the one hand and the related activities on the other hand.</w:t>
      </w:r>
    </w:p>
    <w:p>
      <w:pPr>
        <w:pStyle w:val="Heading1"/>
        <w:ind w:hanging="0" w:start="0"/>
        <w:rPr>
          <w:kern w:val="2"/>
        </w:rPr>
      </w:pPr>
      <w:r>
        <w:rPr>
          <w:kern w:val="2"/>
        </w:rPr>
        <w:t>EXECUTIVE SUMMARY</w:t>
      </w:r>
    </w:p>
    <w:p>
      <w:pPr>
        <w:pStyle w:val="BodyText"/>
        <w:numPr>
          <w:ilvl w:val="0"/>
          <w:numId w:val="12"/>
        </w:numPr>
        <w:ind w:hanging="360" w:start="660" w:end="0"/>
        <w:rPr>
          <w:kern w:val="2"/>
        </w:rPr>
      </w:pPr>
      <w:r>
        <w:rPr>
          <w:kern w:val="2"/>
        </w:rPr>
        <w:t>This executive summary highlights those issues identified by the legal survey which we consider may be of particular interest to ECI, having regard to the discussions which we have had with you regarding the extent of the survey, and the stated three key objectives of the Survey Questionnaire (being to obtain advice on: the telecommunications regulatory regime with regard to network development and resale of excess capacities and to obtain advice on the regulatory regime for content distribution).</w:t>
      </w:r>
    </w:p>
    <w:p>
      <w:pPr>
        <w:pStyle w:val="Heading2"/>
        <w:ind w:hanging="0" w:start="0"/>
        <w:rPr>
          <w:kern w:val="2"/>
        </w:rPr>
      </w:pPr>
      <w:r>
        <w:rPr>
          <w:kern w:val="2"/>
        </w:rPr>
        <w:t>Telecommunications Licensing</w:t>
      </w:r>
    </w:p>
    <w:p>
      <w:pPr>
        <w:pStyle w:val="BodyText"/>
        <w:numPr>
          <w:ilvl w:val="0"/>
          <w:numId w:val="12"/>
        </w:numPr>
        <w:ind w:hanging="360" w:start="660" w:end="0"/>
        <w:rPr/>
      </w:pPr>
      <w:r>
        <w:rPr/>
        <w:t xml:space="preserve">The most important aspect of the telecommunications regulatory regime in relation to the planned activities is whether or not a telecommunications licence is necessary.  Under the German Telecommunications Act, only two telecommunications activities </w:t>
      </w:r>
      <w:r>
        <w:rPr>
          <w:kern w:val="2"/>
        </w:rPr>
        <w:t>in</w:t>
      </w:r>
      <w:r>
        <w:rPr/>
        <w:t xml:space="preserve"> Germany fall under a license requirement:</w:t>
      </w:r>
    </w:p>
    <w:p>
      <w:pPr>
        <w:pStyle w:val="Normal"/>
        <w:numPr>
          <w:ilvl w:val="0"/>
          <w:numId w:val="27"/>
        </w:numPr>
        <w:ind w:hanging="409" w:start="1069" w:end="0"/>
        <w:rPr/>
      </w:pPr>
      <w:r>
        <w:rPr/>
        <w:t xml:space="preserve">whosoever </w:t>
      </w:r>
      <w:r>
        <w:rPr>
          <w:b/>
        </w:rPr>
        <w:t xml:space="preserve">operates transmission lines </w:t>
      </w:r>
      <w:r>
        <w:rPr/>
        <w:t>going beyond the limits of a property and used to provide telecommunication services for the public (license classes 1-3, i.e. mobile, satellite and other transmission lines); and</w:t>
      </w:r>
    </w:p>
    <w:p>
      <w:pPr>
        <w:pStyle w:val="Normal"/>
        <w:numPr>
          <w:ilvl w:val="0"/>
          <w:numId w:val="27"/>
        </w:numPr>
        <w:ind w:hanging="409" w:start="1069" w:end="0"/>
        <w:rPr/>
      </w:pPr>
      <w:r>
        <w:rPr/>
        <w:t xml:space="preserve">whosoever offers </w:t>
      </w:r>
      <w:r>
        <w:rPr>
          <w:b/>
        </w:rPr>
        <w:t>voice telephony</w:t>
      </w:r>
      <w:r>
        <w:rPr/>
        <w:t xml:space="preserve"> on the basis of a self-operated telecommunications network (license class 4) shall require a license. </w:t>
      </w:r>
    </w:p>
    <w:p>
      <w:pPr>
        <w:pStyle w:val="Normal"/>
        <w:ind w:start="624" w:end="0"/>
        <w:rPr/>
      </w:pPr>
      <w:r>
        <w:rPr/>
        <w:t xml:space="preserve">If ECI would operate a network and were the “operator of transmission lines” within the meaning of the Telecommunications Act, then ECI would need to obtain a licence. In simplified terms, this only applies in our view to such an entity </w:t>
      </w:r>
      <w:r>
        <w:rPr>
          <w:kern w:val="2"/>
        </w:rPr>
        <w:t>who is responsible for creating bandwidth, e.g. when ECI leases dark fibre and creates the transmission capacity itself.</w:t>
      </w:r>
    </w:p>
    <w:p>
      <w:pPr>
        <w:pStyle w:val="Normal"/>
        <w:ind w:start="624" w:end="0"/>
        <w:rPr/>
      </w:pPr>
      <w:r>
        <w:rPr/>
        <w:t>If, however, ECI is simply using or reselling bandwidth across transmission lines operated by a third party (i.e. ECI mere traders or providers of network services on the basis of lines leased from a third party), a licence would in our view not be required. To the extent such network would lie outside Germany, then the entire German telecommunications regulatory regime would not even apply.</w:t>
      </w:r>
    </w:p>
    <w:p>
      <w:pPr>
        <w:pStyle w:val="Normal"/>
        <w:ind w:start="624" w:end="0"/>
        <w:rPr/>
      </w:pPr>
      <w:r>
        <w:rPr/>
        <w:t>Operators of transmission lines as well as anybody who is selling telecommunications services which are being provided in Germany are subject to a variety of compliance obligations, the most important of which relate to data security, data protection and interception.</w:t>
      </w:r>
    </w:p>
    <w:p>
      <w:pPr>
        <w:pStyle w:val="Heading2"/>
        <w:ind w:hanging="0" w:start="0"/>
        <w:rPr/>
      </w:pPr>
      <w:r>
        <w:rPr/>
        <w:t>Broadcasting Regulation</w:t>
      </w:r>
    </w:p>
    <w:p>
      <w:pPr>
        <w:pStyle w:val="BodyText"/>
        <w:numPr>
          <w:ilvl w:val="0"/>
          <w:numId w:val="12"/>
        </w:numPr>
        <w:ind w:hanging="0" w:start="0"/>
        <w:rPr/>
      </w:pPr>
      <w:r>
        <w:rPr/>
        <w:t>[TO BE INSERTED]</w:t>
      </w:r>
    </w:p>
    <w:p>
      <w:pPr>
        <w:pStyle w:val="Heading2"/>
        <w:ind w:hanging="0" w:start="0"/>
        <w:rPr/>
      </w:pPr>
      <w:r>
        <w:rPr/>
        <w:t>General Questions</w:t>
      </w:r>
    </w:p>
    <w:p>
      <w:pPr>
        <w:pStyle w:val="BodyText"/>
        <w:numPr>
          <w:ilvl w:val="0"/>
          <w:numId w:val="12"/>
        </w:numPr>
        <w:ind w:hanging="0" w:start="0"/>
        <w:rPr/>
      </w:pPr>
      <w:r>
        <w:rPr/>
        <w:t>[                    ]</w:t>
      </w:r>
    </w:p>
    <w:p>
      <w:pPr>
        <w:pStyle w:val="Heading2"/>
        <w:ind w:hanging="0" w:start="0"/>
        <w:rPr/>
      </w:pPr>
      <w:r>
        <w:rPr/>
        <w:t>Network Development</w:t>
      </w:r>
    </w:p>
    <w:p>
      <w:pPr>
        <w:pStyle w:val="BodyText"/>
        <w:numPr>
          <w:ilvl w:val="0"/>
          <w:numId w:val="12"/>
        </w:numPr>
        <w:ind w:hanging="0" w:start="0"/>
        <w:rPr/>
      </w:pPr>
      <w:r>
        <w:rPr/>
        <w:t>[                   ]</w:t>
      </w:r>
    </w:p>
    <w:p>
      <w:pPr>
        <w:pStyle w:val="Heading2"/>
        <w:ind w:hanging="0" w:start="0"/>
        <w:jc w:val="start"/>
        <w:rPr/>
      </w:pPr>
      <w:r>
        <w:rPr/>
        <w:t>Content Distribution</w:t>
      </w:r>
    </w:p>
    <w:p>
      <w:pPr>
        <w:pStyle w:val="BodyText"/>
        <w:numPr>
          <w:ilvl w:val="0"/>
          <w:numId w:val="12"/>
        </w:numPr>
        <w:ind w:hanging="0" w:start="0"/>
        <w:rPr/>
      </w:pPr>
      <w:r>
        <w:rPr/>
        <w:t>With regard to content distribution, from an Internet law perspective, no licence or other governmental approvals are required, but we recommend that ECI take into consideration German legislation on teleservices and media services as well as consumer and data protection provisions.</w:t>
      </w:r>
    </w:p>
    <w:p>
      <w:pPr>
        <w:pStyle w:val="BodyText"/>
        <w:numPr>
          <w:ilvl w:val="0"/>
          <w:numId w:val="12"/>
        </w:numPr>
        <w:ind w:hanging="0" w:start="0"/>
        <w:rPr/>
      </w:pPr>
      <w:r>
        <w:rPr/>
        <w:t>[Add encryption etc]</w:t>
      </w:r>
      <w:r>
        <w:br w:type="page"/>
      </w:r>
    </w:p>
    <w:p>
      <w:pPr>
        <w:pStyle w:val="Heading1"/>
        <w:ind w:hanging="0" w:start="0"/>
        <w:rPr/>
      </w:pPr>
      <w:r>
        <w:rPr/>
        <w:t xml:space="preserve">SECTION 1 - GENERAL QUESTIONS </w:t>
      </w:r>
    </w:p>
    <w:p>
      <w:pPr>
        <w:pStyle w:val="ListAlpha1"/>
        <w:numPr>
          <w:ilvl w:val="0"/>
          <w:numId w:val="16"/>
        </w:numPr>
        <w:ind w:hanging="0" w:start="0"/>
        <w:rPr/>
      </w:pPr>
      <w:r>
        <w:rPr/>
        <w:t>Are any of the activities envisioned by ECI regulated as telecommunications activities? Would ECI be treated as a telecommunications carrier?</w:t>
      </w:r>
    </w:p>
    <w:p>
      <w:pPr>
        <w:pStyle w:val="Normal"/>
        <w:ind w:start="720" w:end="0"/>
        <w:rPr/>
      </w:pPr>
      <w:r>
        <w:rPr/>
        <w:t>Activities envisioned by ECI would be regulated as telecommunications activities under German law if those activities constitute telecommunications services for the purposes of Sections 3 no. 18 of the German Telecommunications Act of 25 July 1996 (</w:t>
      </w:r>
      <w:r>
        <w:rPr>
          <w:i/>
        </w:rPr>
        <w:t>Telekommunikationsgesetz</w:t>
      </w:r>
      <w:r>
        <w:rPr/>
        <w:t xml:space="preserve"> the "</w:t>
      </w:r>
      <w:r>
        <w:rPr>
          <w:b/>
        </w:rPr>
        <w:t>TKG</w:t>
      </w:r>
      <w:r>
        <w:rPr/>
        <w:t>"). This provision defines telecommunications services as:</w:t>
      </w:r>
    </w:p>
    <w:p>
      <w:pPr>
        <w:pStyle w:val="BodyText"/>
        <w:numPr>
          <w:ilvl w:val="0"/>
          <w:numId w:val="12"/>
        </w:numPr>
        <w:ind w:hanging="360" w:start="1440" w:end="0"/>
        <w:rPr/>
      </w:pPr>
      <w:r>
        <w:rPr/>
        <w:t>“</w:t>
      </w:r>
      <w:r>
        <w:rPr/>
        <w:t>the commercial provision of telecommunications, including the offer of transmission lines to third parties.”</w:t>
      </w:r>
    </w:p>
    <w:p>
      <w:pPr>
        <w:pStyle w:val="BodyText"/>
        <w:numPr>
          <w:ilvl w:val="0"/>
          <w:numId w:val="12"/>
        </w:numPr>
        <w:ind w:hanging="0" w:start="0"/>
        <w:rPr/>
      </w:pPr>
      <w:r>
        <w:rPr/>
        <w:t>The term "</w:t>
      </w:r>
      <w:r>
        <w:rPr>
          <w:b/>
        </w:rPr>
        <w:t>telecommunications</w:t>
      </w:r>
      <w:r>
        <w:rPr/>
        <w:t>" is defined in Section 3 no. 16 of the Telecommunications Act as follows:</w:t>
      </w:r>
    </w:p>
    <w:p>
      <w:pPr>
        <w:pStyle w:val="BodyText"/>
        <w:numPr>
          <w:ilvl w:val="0"/>
          <w:numId w:val="12"/>
        </w:numPr>
        <w:ind w:hanging="360" w:start="1440" w:end="0"/>
        <w:rPr/>
      </w:pPr>
      <w:r>
        <w:rPr/>
        <w:t>“</w:t>
      </w:r>
      <w:r>
        <w:rPr/>
        <w:t>the technical process of sending, transmitting and receiving any kind of message in the form of characters, voice, images or sounds by means of telecommunications systems.”</w:t>
      </w:r>
    </w:p>
    <w:p>
      <w:pPr>
        <w:pStyle w:val="BodyText"/>
        <w:numPr>
          <w:ilvl w:val="0"/>
          <w:numId w:val="12"/>
        </w:numPr>
        <w:ind w:hanging="0" w:start="0"/>
        <w:rPr/>
      </w:pPr>
      <w:r>
        <w:rPr/>
        <w:t>According to Sections 3 no. 17 of the Telecommunications Act, "telecommunications systems" means:</w:t>
      </w:r>
    </w:p>
    <w:p>
      <w:pPr>
        <w:pStyle w:val="BodyText"/>
        <w:numPr>
          <w:ilvl w:val="0"/>
          <w:numId w:val="12"/>
        </w:numPr>
        <w:ind w:hanging="360" w:start="1440" w:end="0"/>
        <w:rPr/>
      </w:pPr>
      <w:r>
        <w:rPr/>
        <w:t>“</w:t>
      </w:r>
      <w:r>
        <w:rPr/>
        <w:t>any technical equipment or system capable of sending, transmitting, switching, receiving, steering or controlling identifiable electromagnetic or optical signals as messages.”</w:t>
      </w:r>
    </w:p>
    <w:p>
      <w:pPr>
        <w:pStyle w:val="BodyText"/>
        <w:numPr>
          <w:ilvl w:val="0"/>
          <w:numId w:val="12"/>
        </w:numPr>
        <w:ind w:hanging="0" w:start="0"/>
        <w:rPr/>
      </w:pPr>
      <w:r>
        <w:rPr/>
        <w:t>Based on these definitions, both the network ECI seeks to set up (whether comprising optic cables, satellites and undersea cables involving IRUs) and the physical points of presence ("</w:t>
      </w:r>
      <w:r>
        <w:rPr>
          <w:b/>
        </w:rPr>
        <w:t>POPs</w:t>
      </w:r>
      <w:r>
        <w:rPr/>
        <w:t xml:space="preserve">") qualify as "telecommunications systems". Therefore, the distribution (transport) of content received from content providers at a PoP via ECI’s network to local content distributors or end-customers would constitute the provision of telecommunications services. </w:t>
      </w:r>
    </w:p>
    <w:p>
      <w:pPr>
        <w:pStyle w:val="BodyText"/>
        <w:numPr>
          <w:ilvl w:val="0"/>
          <w:numId w:val="12"/>
        </w:numPr>
        <w:ind w:hanging="0" w:start="0"/>
        <w:rPr/>
      </w:pPr>
      <w:r>
        <w:rPr/>
        <w:t xml:space="preserve">Thus, the core activity envisaged by the Background and Business Description" in the Survey Questionnaire would be considered, and therefore regulated, as telecommunications activity.  This analysis applies irrespective of the content to be distributed.  Indeed, the application of German telecommunications law is not linked to the content provided (or transmitted) across a telecommunications network but to the technical process of sending, transmitting or receiving such content. Therefore, there would be no difference under German telecommunications law if, in addition to merely distributing the content obtained from third party content providers, ECI also provided enhanced and advanced communications and Internet services.  Similarly , there would be no difference under German telecommunications law, if the content distributed were related to e-commerce sales, services and support. </w:t>
      </w:r>
    </w:p>
    <w:p>
      <w:pPr>
        <w:pStyle w:val="BodyText"/>
        <w:numPr>
          <w:ilvl w:val="0"/>
          <w:numId w:val="12"/>
        </w:numPr>
        <w:ind w:hanging="0" w:start="0"/>
        <w:rPr/>
      </w:pPr>
      <w:r>
        <w:rPr/>
        <w:t>According to the aforementioned principles, some of ECI’s related activities may also qualify as "telecommunications activities". The mere setting up of a network including developing communications facilities will not be considered to constitute telecommunications services, if such act does not include the offer to supply transmission lines or other offers to third parties.  However, mere network operators are nevertheless regulated by the German telecommunications law regime.  According to Section 3 no. 2 of the Telecommunications Act:</w:t>
      </w:r>
    </w:p>
    <w:p>
      <w:pPr>
        <w:pStyle w:val="BodyText"/>
        <w:numPr>
          <w:ilvl w:val="0"/>
          <w:numId w:val="12"/>
        </w:numPr>
        <w:ind w:hanging="360" w:start="1440" w:end="0"/>
        <w:rPr/>
      </w:pPr>
      <w:r>
        <w:rPr>
          <w:lang w:val="en-US" w:eastAsia="en-US"/>
        </w:rPr>
        <w:t xml:space="preserve">"operation of telecommunications networks" shall mean exercise of </w:t>
      </w:r>
      <w:r>
        <w:rPr>
          <w:i/>
          <w:lang w:val="en-US" w:eastAsia="en-US"/>
        </w:rPr>
        <w:t>de jure</w:t>
      </w:r>
      <w:r>
        <w:rPr>
          <w:lang w:val="en-US" w:eastAsia="en-US"/>
        </w:rPr>
        <w:t xml:space="preserve"> and </w:t>
      </w:r>
      <w:r>
        <w:rPr>
          <w:i/>
          <w:lang w:val="en-US" w:eastAsia="en-US"/>
        </w:rPr>
        <w:t>de facto</w:t>
      </w:r>
      <w:r>
        <w:rPr>
          <w:lang w:val="en-US" w:eastAsia="en-US"/>
        </w:rPr>
        <w:t xml:space="preserve"> control ("functions control") of all the functions that must necessarily be made available for the provision of telecommunications services or for non-profit-oriented telecommunications purposes via telecommunications networks; this shall also apply where transmission lines owned by third parties are used within the telecommunications network;</w:t>
      </w:r>
    </w:p>
    <w:p>
      <w:pPr>
        <w:pStyle w:val="BodyText"/>
        <w:numPr>
          <w:ilvl w:val="0"/>
          <w:numId w:val="12"/>
        </w:numPr>
        <w:ind w:hanging="0" w:start="0"/>
        <w:rPr/>
      </w:pPr>
      <w:r>
        <w:rPr/>
        <w:t>Thus, irrespective of whether or not network operators also provide services over their network, the network operation is itself regulated as a telecommunications activity, e.g. with regard to data security, protection and interception.</w:t>
      </w:r>
    </w:p>
    <w:p>
      <w:pPr>
        <w:pStyle w:val="BodyText"/>
        <w:numPr>
          <w:ilvl w:val="0"/>
          <w:numId w:val="12"/>
        </w:numPr>
        <w:ind w:hanging="0" w:start="0"/>
        <w:rPr/>
      </w:pPr>
      <w:r>
        <w:rPr/>
        <w:t>As a result, thus, the mere lease or other acquisition of capacity and rights on fibre optic cables, satellites and undersea cables is not regulated as telecommunications service or activity provided that ECI does not operate a telecommunications network. In contrast, swapping capacity, trading or reselling excess capacity may fall under the definition of telecommunications services, if it constitutes the offer of transmission line (being telecommunications systems in the form of cable or radio links with their associated transmission equipment, comprising a point-to-point or point-to-multipoint connection with a specific information capability (bandwidth or bit rate) including their termination point or access facilities (Section 3 no. 22 of the Telecommunications Act)). We assume that the swapped, traded or resold capacity would meet these requirements. It would, therefore, be regulated as telecommunications activity and service.</w:t>
      </w:r>
    </w:p>
    <w:p>
      <w:pPr>
        <w:pStyle w:val="BodyText"/>
        <w:numPr>
          <w:ilvl w:val="0"/>
          <w:numId w:val="12"/>
        </w:numPr>
        <w:ind w:hanging="0" w:start="0"/>
        <w:rPr/>
      </w:pPr>
      <w:r>
        <w:rPr/>
        <w:t xml:space="preserve">In this context, we note that German telecommunications law only applies if the telecommunications services in question would be rendered in Germany.  Based on the facts provided with the questionnaire, we assume that this is the case with each of the relevant services. </w:t>
      </w:r>
    </w:p>
    <w:p>
      <w:pPr>
        <w:pStyle w:val="Normal"/>
        <w:ind w:start="624" w:end="0"/>
        <w:rPr/>
      </w:pPr>
      <w:r>
        <w:rPr/>
        <w:t>ECI will be considered to be a "telecommunications carrier" (</w:t>
      </w:r>
      <w:r>
        <w:rPr>
          <w:i/>
        </w:rPr>
        <w:t>Betreiber von Telekommunikationsnetzen</w:t>
      </w:r>
      <w:r>
        <w:rPr/>
        <w:t xml:space="preserve">) if it exercises </w:t>
      </w:r>
      <w:r>
        <w:rPr>
          <w:i/>
        </w:rPr>
        <w:t>de jure</w:t>
      </w:r>
      <w:r>
        <w:rPr/>
        <w:t xml:space="preserve"> and </w:t>
      </w:r>
      <w:r>
        <w:rPr>
          <w:i/>
        </w:rPr>
        <w:t>de facto</w:t>
      </w:r>
      <w:r>
        <w:rPr/>
        <w:t xml:space="preserve"> control ("functions control") over all the functions that must necessarily be made available for the provision of telecommunications services via telecommunications networks.  This would also apply where transmission lines owned by third parties are used within a telecommunications network (Section. 3 no. 2 Telecommunications Act)). The question of the exercise of </w:t>
      </w:r>
      <w:r>
        <w:rPr>
          <w:i/>
        </w:rPr>
        <w:t>de jure</w:t>
      </w:r>
      <w:r>
        <w:rPr/>
        <w:t xml:space="preserve"> and </w:t>
      </w:r>
      <w:r>
        <w:rPr>
          <w:i/>
        </w:rPr>
        <w:t>de facto</w:t>
      </w:r>
      <w:r>
        <w:rPr/>
        <w:t xml:space="preserve"> control means that the network operator must in fact be the one who has control over the network operation itself.  This is usually determined by evaluating which entity has unconditional access to the relevant facilities and equipment, is in possession of the facilities and equipment, is the employer of the personnel in charge of managing the facility etc.  The key determining factor is who has overall and ultimate responsibility for the operation of the network.  As a "network operator", ECI will be subject to certain requirements under the Telecommunications Act, relating, in particular, to data security, data protection and interception of telecommunications traffic. Being considered a network operator (telecommunications carrier) could have implications with regard to the provision of voice telephony services, because it would lead to the requirement of having to obtain a voice telephony licence.  However, since we understand that ECI does not intend to provide such services or Internet telephony (voice over IP), such operation may only lead to a requirement to notify the Regulatory Authority for Telecommunications and Post (</w:t>
      </w:r>
      <w:r>
        <w:rPr>
          <w:i/>
        </w:rPr>
        <w:t>Regulierungsbehörde für Telekommunikation und Post - RegTP</w:t>
      </w:r>
      <w:r>
        <w:rPr/>
        <w:t>) within one month of commencement of operation, modification or termination network operation.  Consequently, we do not discuss licensing requirements relating to a voice telephony licence in this memorandum.</w:t>
      </w:r>
    </w:p>
    <w:p>
      <w:pPr>
        <w:pStyle w:val="BodyText"/>
        <w:numPr>
          <w:ilvl w:val="0"/>
          <w:numId w:val="12"/>
        </w:numPr>
        <w:ind w:hanging="0" w:start="0"/>
        <w:rPr/>
      </w:pPr>
      <w:r>
        <w:rPr/>
        <w:t>If ECI were to have functions control within the meaning of Sec. 3 no. 1 of the Telecommunications Act (functions control for operation of transmission lines including those operated via satellite), it might need to obtain a respective licence (see below answer to (d) and Section 2(a).</w:t>
      </w:r>
    </w:p>
    <w:p>
      <w:pPr>
        <w:pStyle w:val="ListAlpha1"/>
        <w:numPr>
          <w:ilvl w:val="0"/>
          <w:numId w:val="16"/>
        </w:numPr>
        <w:ind w:hanging="0" w:start="0"/>
        <w:rPr/>
      </w:pPr>
      <w:r>
        <w:rPr/>
        <w:t>Are any of the activities envisioned by ECI regulated as broadcast activities (i.e., is information sent over the Internet treated differently from information sent over television channels)? Would ECI be treated as a broadcast company?</w:t>
      </w:r>
    </w:p>
    <w:p>
      <w:pPr>
        <w:pStyle w:val="Normal"/>
        <w:ind w:start="720" w:end="0"/>
        <w:rPr/>
      </w:pPr>
      <w:r>
        <w:rPr/>
        <w:t>In Germany, the regulatory framework for Internet-related activities fall into separated in three different categories:</w:t>
      </w:r>
    </w:p>
    <w:p>
      <w:pPr>
        <w:pStyle w:val="BodyText"/>
        <w:numPr>
          <w:ilvl w:val="0"/>
          <w:numId w:val="18"/>
        </w:numPr>
        <w:tabs>
          <w:tab w:val="clear" w:pos="720"/>
          <w:tab w:val="left" w:pos="1080" w:leader="none"/>
        </w:tabs>
        <w:ind w:hanging="360" w:start="1080" w:end="0"/>
        <w:rPr/>
      </w:pPr>
      <w:r>
        <w:rPr/>
        <w:t>Teleservices (regulated at a federal level by way of the Information and Communication Services Act);</w:t>
      </w:r>
    </w:p>
    <w:p>
      <w:pPr>
        <w:pStyle w:val="BodyText"/>
        <w:numPr>
          <w:ilvl w:val="0"/>
          <w:numId w:val="18"/>
        </w:numPr>
        <w:tabs>
          <w:tab w:val="clear" w:pos="720"/>
          <w:tab w:val="left" w:pos="1080" w:leader="none"/>
        </w:tabs>
        <w:ind w:hanging="360" w:start="1080" w:end="0"/>
        <w:rPr/>
      </w:pPr>
      <w:r>
        <w:rPr/>
        <w:t>Media Services (regulated at State level by way of a common framework of the States (</w:t>
      </w:r>
      <w:r>
        <w:rPr>
          <w:i/>
        </w:rPr>
        <w:t>Länder</w:t>
      </w:r>
      <w:r>
        <w:rPr/>
        <w:t>) of the Federal Public of Germany in the Media Services State Convention); and</w:t>
      </w:r>
    </w:p>
    <w:p>
      <w:pPr>
        <w:pStyle w:val="BodyText"/>
        <w:numPr>
          <w:ilvl w:val="0"/>
          <w:numId w:val="18"/>
        </w:numPr>
        <w:tabs>
          <w:tab w:val="clear" w:pos="720"/>
          <w:tab w:val="left" w:pos="1080" w:leader="none"/>
        </w:tabs>
        <w:ind w:hanging="360" w:start="1080" w:end="0"/>
        <w:rPr/>
      </w:pPr>
      <w:r>
        <w:rPr/>
        <w:t>Broadcast Services (regulated at State level way of a common framework of the States (</w:t>
      </w:r>
      <w:r>
        <w:rPr>
          <w:i/>
        </w:rPr>
        <w:t>Länder</w:t>
      </w:r>
      <w:r>
        <w:rPr/>
        <w:t>) of the Federal Public of Germany in the State Broadcasting Convention).</w:t>
      </w:r>
    </w:p>
    <w:p>
      <w:pPr>
        <w:pStyle w:val="BodyText"/>
        <w:numPr>
          <w:ilvl w:val="0"/>
          <w:numId w:val="12"/>
        </w:numPr>
        <w:ind w:hanging="0" w:start="0"/>
        <w:rPr/>
      </w:pPr>
      <w:r>
        <w:rPr/>
        <w:t xml:space="preserve">This distinction is based on historical and constitutional reasons, according to which telecommunications and commercial activities are subject to federal legislation while broadcasting is subject to State legislation. Both the regulation of teleservices and media services are similar, the former based on federal legislation, the latter based on State legislation.  New technical distribution platforms such as Internet have in recent years created significant problems in determining the distinctive line between federal and State levels of competence. </w:t>
      </w:r>
    </w:p>
    <w:p>
      <w:pPr>
        <w:pStyle w:val="BodyText"/>
        <w:numPr>
          <w:ilvl w:val="0"/>
          <w:numId w:val="12"/>
        </w:numPr>
        <w:ind w:hanging="0" w:start="0"/>
        <w:rPr/>
      </w:pPr>
      <w:r>
        <w:rPr/>
        <w:t>The current regulation of new media services and teleservices on a national level in Germany can be described as follows:</w:t>
      </w:r>
    </w:p>
    <w:p>
      <w:pPr>
        <w:pStyle w:val="Heading2"/>
        <w:ind w:hanging="0" w:start="0"/>
        <w:rPr>
          <w:b w:val="false"/>
        </w:rPr>
      </w:pPr>
      <w:r>
        <w:rPr>
          <w:b w:val="false"/>
        </w:rPr>
        <w:t>On 1 August 1997, the German Media Services Convention (</w:t>
      </w:r>
      <w:r>
        <w:rPr>
          <w:b w:val="false"/>
          <w:i/>
        </w:rPr>
        <w:t xml:space="preserve">Mediendienste-Staatsvertrag - </w:t>
      </w:r>
      <w:r>
        <w:rPr>
          <w:b w:val="false"/>
        </w:rPr>
        <w:t>"</w:t>
      </w:r>
      <w:r>
        <w:rPr/>
        <w:t>MStV</w:t>
      </w:r>
      <w:r>
        <w:rPr>
          <w:b w:val="false"/>
        </w:rPr>
        <w:t>") entered into force in all States (</w:t>
      </w:r>
      <w:r>
        <w:rPr>
          <w:b w:val="false"/>
          <w:i/>
        </w:rPr>
        <w:t>Länder</w:t>
      </w:r>
      <w:r>
        <w:rPr>
          <w:b w:val="false"/>
        </w:rPr>
        <w:t>) of the Federal Republic of Germany.  At the same time, the Federal Information and Communication Services Act (</w:t>
      </w:r>
      <w:r>
        <w:rPr>
          <w:b w:val="false"/>
          <w:i/>
        </w:rPr>
        <w:t xml:space="preserve">Informations- und Kommunikationsdienstegesetz - </w:t>
      </w:r>
      <w:r>
        <w:rPr>
          <w:b w:val="false"/>
        </w:rPr>
        <w:t>"</w:t>
      </w:r>
      <w:r>
        <w:rPr/>
        <w:t>IuKDG</w:t>
      </w:r>
      <w:r>
        <w:rPr>
          <w:b w:val="false"/>
        </w:rPr>
        <w:t>") entered into force which, inter alia, contains the Teleservices Act (</w:t>
      </w:r>
      <w:r>
        <w:rPr>
          <w:b w:val="false"/>
          <w:i/>
        </w:rPr>
        <w:t>Tele</w:t>
        <w:softHyphen/>
        <w:t xml:space="preserve">dienstgesetz - </w:t>
      </w:r>
      <w:r>
        <w:rPr>
          <w:b w:val="false"/>
        </w:rPr>
        <w:t>"</w:t>
      </w:r>
      <w:r>
        <w:rPr/>
        <w:t>TDG</w:t>
      </w:r>
      <w:r>
        <w:rPr>
          <w:b w:val="false"/>
        </w:rPr>
        <w:t>"). Both bodies of law classify certain manifestations of electronically mediated communication as "teleservices" (</w:t>
      </w:r>
      <w:r>
        <w:rPr>
          <w:b w:val="false"/>
          <w:i/>
        </w:rPr>
        <w:t>Teledienste</w:t>
      </w:r>
      <w:r>
        <w:rPr>
          <w:b w:val="false"/>
        </w:rPr>
        <w:t>) or "media services" (</w:t>
      </w:r>
      <w:r>
        <w:rPr>
          <w:b w:val="false"/>
          <w:i/>
        </w:rPr>
        <w:t>Mediendienste</w:t>
      </w:r>
      <w:r>
        <w:rPr>
          <w:b w:val="false"/>
        </w:rPr>
        <w:t xml:space="preserve">). </w:t>
      </w:r>
    </w:p>
    <w:p>
      <w:pPr>
        <w:pStyle w:val="Heading2"/>
        <w:ind w:hanging="0" w:start="0"/>
        <w:rPr>
          <w:b w:val="false"/>
        </w:rPr>
      </w:pPr>
      <w:r>
        <w:rPr>
          <w:b w:val="false"/>
        </w:rPr>
        <w:t xml:space="preserve">Within the framework of the new laws, teleservices and media services are not subject to licensing or registration requirements.  However, this does not affect other registration or licensing requirements of general law, including those of a trade law or commercial law nature.  The same applies where a provider of teleservices offers telecommunications services which are subject to a notification or licensing obligation under the Telecommunications Act. </w:t>
      </w:r>
    </w:p>
    <w:p>
      <w:pPr>
        <w:pStyle w:val="BodyText"/>
        <w:numPr>
          <w:ilvl w:val="0"/>
          <w:numId w:val="12"/>
        </w:numPr>
        <w:ind w:hanging="0" w:start="0"/>
        <w:rPr/>
      </w:pPr>
      <w:r>
        <w:rPr/>
        <w:t>If media services are classified as "broadcasting", providers of such services, (according to the German State Broadcasting Convention (</w:t>
      </w:r>
      <w:r>
        <w:rPr>
          <w:i/>
        </w:rPr>
        <w:t xml:space="preserve">Rundfunkstaatsvertrag - </w:t>
      </w:r>
      <w:r>
        <w:rPr/>
        <w:t>"</w:t>
      </w:r>
      <w:r>
        <w:rPr>
          <w:b/>
        </w:rPr>
        <w:t>RStV</w:t>
      </w:r>
      <w:r>
        <w:rPr/>
        <w:t>")) must have a special broadcasting licence, which is granted by the responsible State Media Authorities (</w:t>
      </w:r>
      <w:r>
        <w:rPr>
          <w:i/>
        </w:rPr>
        <w:t>Landes</w:t>
        <w:softHyphen/>
        <w:t>medienanstalten</w:t>
      </w:r>
      <w:r>
        <w:rPr/>
        <w:t xml:space="preserve">). It was originally intended that providers of media services consisting exclusively or for the most part, of moving pictures would be under a general duty only to notify the relevant State Media Authority (so-called “moving pictures clause” - </w:t>
      </w:r>
      <w:r>
        <w:rPr>
          <w:i/>
        </w:rPr>
        <w:t>Bewegtbildklausel</w:t>
      </w:r>
      <w:r>
        <w:rPr/>
        <w:t xml:space="preserve">).  This clause, however, did not become law.  In case of doubt, providers of media services can apply to the responsible State Media Authority for a clearance certificate. This involves a negative certification which the State Media Authority must always grant if the media service is </w:t>
      </w:r>
      <w:r>
        <w:rPr>
          <w:i/>
        </w:rPr>
        <w:t xml:space="preserve">not </w:t>
      </w:r>
      <w:r>
        <w:rPr/>
        <w:t>classified as broadcasting. If the responsible State Media Authority, after consultation with the other State Media Authorities, determines that conditions for the classification as "broadcasting" exist, the provider must choose within 6 months after it is notified of the determination whether it wants to apply for a licence or offer the media service in such a way that the conditions for broadcasting would not be fulfilled.</w:t>
      </w:r>
    </w:p>
    <w:p>
      <w:pPr>
        <w:pStyle w:val="Heading2"/>
        <w:ind w:hanging="0" w:start="0"/>
        <w:rPr>
          <w:b w:val="false"/>
        </w:rPr>
      </w:pPr>
      <w:r>
        <w:rPr>
          <w:b w:val="false"/>
        </w:rPr>
        <w:t>§ 2 para. 1 of the MStV defines "media services" as:</w:t>
      </w:r>
    </w:p>
    <w:p>
      <w:pPr>
        <w:pStyle w:val="BodyText"/>
        <w:numPr>
          <w:ilvl w:val="0"/>
          <w:numId w:val="12"/>
        </w:numPr>
        <w:ind w:hanging="0" w:start="0"/>
        <w:rPr/>
      </w:pPr>
      <w:r>
        <w:rPr/>
        <w:t>“</w:t>
      </w:r>
      <w:r>
        <w:rPr/>
        <w:t>information and communication services in text, sound or pictorial image, which are aimed at the public at large and which are transmitted by means of electromagnetic oscillation without a junction circuit or along or by means of a cable.”</w:t>
      </w:r>
    </w:p>
    <w:p>
      <w:pPr>
        <w:pStyle w:val="BodyText"/>
        <w:numPr>
          <w:ilvl w:val="0"/>
          <w:numId w:val="12"/>
        </w:numPr>
        <w:ind w:hanging="0" w:start="0"/>
        <w:rPr/>
      </w:pPr>
      <w:r>
        <w:rPr/>
        <w:t>Broadcasting, by contrast, is defined according to § 2 para. 1 RStV as:</w:t>
      </w:r>
    </w:p>
    <w:p>
      <w:pPr>
        <w:pStyle w:val="BodyText"/>
        <w:numPr>
          <w:ilvl w:val="0"/>
          <w:numId w:val="12"/>
        </w:numPr>
        <w:ind w:hanging="0" w:start="0"/>
        <w:rPr/>
      </w:pPr>
      <w:r>
        <w:rPr/>
        <w:t>“</w:t>
      </w:r>
      <w:r>
        <w:rPr/>
        <w:t>the organisation and transmission of presentations (</w:t>
      </w:r>
      <w:r>
        <w:rPr>
          <w:i/>
        </w:rPr>
        <w:t>Darbietungen</w:t>
      </w:r>
      <w:r>
        <w:rPr/>
        <w:t>) of all types in word, sound and pictorial image for the public at large using electronic magnetic oscillation without a junction or along or by means of a cable.”</w:t>
      </w:r>
    </w:p>
    <w:p>
      <w:pPr>
        <w:pStyle w:val="BodyText"/>
        <w:numPr>
          <w:ilvl w:val="0"/>
          <w:numId w:val="12"/>
        </w:numPr>
        <w:ind w:hanging="0" w:start="0"/>
        <w:rPr/>
      </w:pPr>
      <w:r>
        <w:rPr/>
        <w:t>Accordingly, the difference between a "media service" and a "broadcasting" is that the latter contains a presentation (</w:t>
      </w:r>
      <w:r>
        <w:rPr>
          <w:i/>
        </w:rPr>
        <w:t>Darbietung</w:t>
      </w:r>
      <w:r>
        <w:rPr/>
        <w:t>). A presentation is deemed to be in existence when an electronic service (</w:t>
      </w:r>
      <w:r>
        <w:rPr>
          <w:i/>
        </w:rPr>
        <w:t>Angebot</w:t>
      </w:r>
      <w:r>
        <w:rPr/>
        <w:t>) has informational contents (</w:t>
      </w:r>
      <w:r>
        <w:rPr>
          <w:i/>
        </w:rPr>
        <w:t>Inhalte</w:t>
      </w:r>
      <w:r>
        <w:rPr/>
        <w:t>) aiming to, and apt to, influence public opinion.  This distinction is, unsurprisingly, somewhat difficult to draw.</w:t>
      </w:r>
    </w:p>
    <w:p>
      <w:pPr>
        <w:pStyle w:val="Heading2"/>
        <w:ind w:hanging="0" w:start="0"/>
        <w:rPr>
          <w:b w:val="false"/>
        </w:rPr>
      </w:pPr>
      <w:r>
        <w:rPr>
          <w:b w:val="false"/>
        </w:rPr>
        <w:t>Therefore, the State Media Authorities by its governing body - the Conference of Directors of the State Media Authorities (</w:t>
      </w:r>
      <w:r>
        <w:rPr>
          <w:b w:val="false"/>
          <w:i/>
        </w:rPr>
        <w:t xml:space="preserve">Direktorenkonferenz der Landesmedienanstalten the </w:t>
      </w:r>
      <w:r>
        <w:rPr>
          <w:b w:val="false"/>
        </w:rPr>
        <w:t>"</w:t>
      </w:r>
      <w:r>
        <w:rPr/>
        <w:t>DLM</w:t>
      </w:r>
      <w:r>
        <w:rPr>
          <w:b w:val="false"/>
        </w:rPr>
        <w:t>") - have developed a “Structural Paper on the Competence of the State Media Authorities in the Borderline Area between Broadcasting (</w:t>
      </w:r>
      <w:r>
        <w:rPr>
          <w:b w:val="false"/>
          <w:i/>
        </w:rPr>
        <w:t>Rundfunk</w:t>
      </w:r>
      <w:r>
        <w:rPr>
          <w:b w:val="false"/>
        </w:rPr>
        <w:t>) and Media Services (</w:t>
      </w:r>
      <w:r>
        <w:rPr>
          <w:b w:val="false"/>
          <w:i/>
        </w:rPr>
        <w:t>Mediendienste</w:t>
      </w:r>
      <w:r>
        <w:rPr>
          <w:b w:val="false"/>
        </w:rPr>
        <w:t>) and on Distinguishing Broadcasting from Media Services”, according to which:</w:t>
      </w:r>
    </w:p>
    <w:p>
      <w:pPr>
        <w:pStyle w:val="BodyText"/>
        <w:numPr>
          <w:ilvl w:val="0"/>
          <w:numId w:val="14"/>
        </w:numPr>
        <w:ind w:hanging="360" w:start="1080" w:end="0"/>
        <w:rPr/>
      </w:pPr>
      <w:r>
        <w:rPr/>
        <w:t>A discreet and stand-alone, part of a service must be licensed if it constitutes "broadcasting".</w:t>
      </w:r>
    </w:p>
    <w:p>
      <w:pPr>
        <w:pStyle w:val="BodyText"/>
        <w:numPr>
          <w:ilvl w:val="0"/>
          <w:numId w:val="14"/>
        </w:numPr>
        <w:ind w:hanging="360" w:start="1080" w:end="0"/>
        <w:rPr/>
      </w:pPr>
      <w:r>
        <w:rPr/>
        <w:t xml:space="preserve">A service licensed under broadcasting law is subject [only] to broadcasting law </w:t>
      </w:r>
      <w:r>
        <w:rPr>
          <w:b/>
        </w:rPr>
        <w:t>[IS THAT CORRECT]</w:t>
      </w:r>
      <w:r>
        <w:rPr/>
        <w:t xml:space="preserve">, even if it contains elements which fulfil the preconditions of a media service. </w:t>
      </w:r>
    </w:p>
    <w:p>
      <w:pPr>
        <w:pStyle w:val="BodyText"/>
        <w:numPr>
          <w:ilvl w:val="0"/>
          <w:numId w:val="14"/>
        </w:numPr>
        <w:ind w:hanging="360" w:start="1080" w:end="0"/>
        <w:rPr/>
      </w:pPr>
      <w:r>
        <w:rPr/>
        <w:t xml:space="preserve">The “to the extent that” clause </w:t>
      </w:r>
      <w:r>
        <w:rPr>
          <w:b/>
        </w:rPr>
        <w:t xml:space="preserve">[WHAT CLAUSE IS THIS?] </w:t>
      </w:r>
      <w:r>
        <w:rPr/>
        <w:t>is currently applicable if several services are contained in one signal (moving pictorial images/sound and teletext). The clause attains its full significance in the case of digital transmission, e.g. if several offers are combined on one platform (such as AOL, T-Online).</w:t>
      </w:r>
    </w:p>
    <w:p>
      <w:pPr>
        <w:pStyle w:val="BodyText"/>
        <w:numPr>
          <w:ilvl w:val="0"/>
          <w:numId w:val="12"/>
        </w:numPr>
        <w:ind w:hanging="0" w:start="0"/>
        <w:rPr/>
      </w:pPr>
      <w:r>
        <w:rPr/>
        <w:t>As regards the question as to whether or not media services, in particular call-up services (</w:t>
      </w:r>
      <w:r>
        <w:rPr>
          <w:i/>
        </w:rPr>
        <w:t>Abrufdienste</w:t>
      </w:r>
      <w:r>
        <w:rPr/>
        <w:t xml:space="preserve">), are subject to broadcasting law must be determined from an overall evaluation which takes into account all features of the service.  According to the DLM the determining factor is how call-up services are considered in terms of their potential for influence of public opinion.  If call-up services meet this test, then they must be treated as "broadcasting". </w:t>
      </w:r>
    </w:p>
    <w:p>
      <w:pPr>
        <w:pStyle w:val="Heading3"/>
        <w:ind w:hanging="0" w:start="0"/>
        <w:rPr/>
      </w:pPr>
      <w:r>
        <w:rPr/>
        <w:t>In the case of call-up services in the Internet Media Authorities had in the past considered that providing communications via the Internet does not come under the auspices of broadcasting regulation on account of its technical constraints – mainly the limited transmission capacities. However, the Media Authorities are unlikely to continue to take this stance for much longer. The reason for this is that, as a result of the constant improvement and advances being achieved in transmission rates and consequently the quality of reception, the transmission of communications via the Internet will be effectively equivalent to traditional broadcasting services provided, however, that the content of which corresponds that of traditional broadcasting (e.g. television/radio). According to the DLM, this would be the case if the moving pictorial images/sound or sound contains “editorially designed contents, which can be described as a "presentation" (</w:t>
      </w:r>
      <w:r>
        <w:rPr>
          <w:i/>
        </w:rPr>
        <w:t>Darbietung</w:t>
      </w:r>
      <w:r>
        <w:rPr/>
        <w:t>) of real or fictional occurrences, as a mixture of fact and opinion.”</w:t>
      </w:r>
    </w:p>
    <w:p>
      <w:pPr>
        <w:pStyle w:val="Heading3"/>
        <w:ind w:hanging="0" w:start="0"/>
        <w:rPr/>
      </w:pPr>
      <w:r>
        <w:rPr/>
        <w:t>The DLM considers that customary near-video-on-demand services (features films and television films, documentaries and the like) which still constitute a distribution service should be considered to be "broadcasting", because they have the same content as found in conventional broadcasting services.</w:t>
      </w:r>
    </w:p>
    <w:p>
      <w:pPr>
        <w:pStyle w:val="Heading3"/>
        <w:ind w:hanging="0" w:start="0"/>
        <w:rPr/>
      </w:pPr>
      <w:r>
        <w:rPr/>
        <w:t>Video-on-demand services are currently treated as media services. However, in light of the improvement of digital transfer technology (hardware and software), the DLM has already announced that video-on-demand should now be classified as "broadcasting".</w:t>
      </w:r>
    </w:p>
    <w:p>
      <w:pPr>
        <w:pStyle w:val="Heading1"/>
        <w:ind w:hanging="0" w:start="0"/>
        <w:rPr>
          <w:b w:val="false"/>
          <w:caps w:val="false"/>
          <w:smallCaps w:val="false"/>
        </w:rPr>
      </w:pPr>
      <w:r>
        <w:rPr>
          <w:b w:val="false"/>
          <w:caps w:val="false"/>
          <w:smallCaps w:val="false"/>
        </w:rPr>
        <w:t>In terms of the question as to whether or not any of the activities envisaged by ECI are regulated as broadcasting activities, it is important to differentiate between the core activities and the related activities as outlined in our Assumptions:</w:t>
        <w:br/>
      </w:r>
    </w:p>
    <w:p>
      <w:pPr>
        <w:pStyle w:val="Heading2"/>
        <w:ind w:hanging="0" w:start="0"/>
        <w:rPr>
          <w:b w:val="false"/>
        </w:rPr>
      </w:pPr>
      <w:r>
        <w:rPr>
          <w:b w:val="false"/>
        </w:rPr>
        <w:t xml:space="preserve">The mere distribution by ECI to (local) content distributors of third party content might not be considered as a broadcast activity by ECI because ECI does not have editorial responsibility or control of the content transmitted.  However, that does not mean that obtaining and distributing content over this network might not be classified as broadcasting. In the event that the content fulfils the criteria outlined above (editorially designed content) and will be distributed to the end-customer the respective activity will have to be considered as a broadcasting activity.   </w:t>
      </w:r>
      <w:r>
        <w:rPr/>
        <w:t>[WHO THEN WOULD RE: SUBJECT TO BROADCASTING REGULATIONS?]</w:t>
      </w:r>
    </w:p>
    <w:p>
      <w:pPr>
        <w:pStyle w:val="Heading2"/>
        <w:ind w:hanging="0" w:start="0"/>
        <w:rPr>
          <w:b w:val="false"/>
        </w:rPr>
      </w:pPr>
      <w:r>
        <w:rPr>
          <w:b w:val="false"/>
        </w:rPr>
        <w:t>In particular the following should be noted:</w:t>
      </w:r>
    </w:p>
    <w:p>
      <w:pPr>
        <w:pStyle w:val="BodyText"/>
        <w:numPr>
          <w:ilvl w:val="0"/>
          <w:numId w:val="13"/>
        </w:numPr>
        <w:tabs>
          <w:tab w:val="clear" w:pos="720"/>
          <w:tab w:val="left" w:pos="984" w:leader="none"/>
        </w:tabs>
        <w:ind w:hanging="360" w:start="984" w:end="0"/>
        <w:rPr/>
      </w:pPr>
      <w:r>
        <w:rPr/>
        <w:t>Distribution of information over the Internet will in the future no longer be treated differently from information sent over television channels, as long as the information can be qualified as a "presentation" (</w:t>
      </w:r>
      <w:r>
        <w:rPr>
          <w:i/>
        </w:rPr>
        <w:t>Darbietung</w:t>
      </w:r>
      <w:r>
        <w:rPr/>
        <w:t>), i.e. it contains editorially designed content to the end-customer as described above.</w:t>
      </w:r>
    </w:p>
    <w:p>
      <w:pPr>
        <w:pStyle w:val="BodyText"/>
        <w:numPr>
          <w:ilvl w:val="0"/>
          <w:numId w:val="12"/>
        </w:numPr>
        <w:tabs>
          <w:tab w:val="clear" w:pos="720"/>
        </w:tabs>
        <w:ind w:hanging="360" w:start="990" w:end="0"/>
        <w:rPr/>
      </w:pPr>
      <w:r>
        <w:rPr/>
        <w:t>The provision of communications facilities might not be considered as "broadcasting" as long as it is not involved in the obtaining and distribution of editorially designed content to the end-customer as described above. A definitive ruling by the DLM on this issue is expected by the end of January 2000.</w:t>
      </w:r>
    </w:p>
    <w:p>
      <w:pPr>
        <w:pStyle w:val="BodyText"/>
        <w:numPr>
          <w:ilvl w:val="0"/>
          <w:numId w:val="12"/>
        </w:numPr>
        <w:tabs>
          <w:tab w:val="clear" w:pos="720"/>
        </w:tabs>
        <w:ind w:hanging="360" w:start="990" w:end="0"/>
        <w:rPr/>
      </w:pPr>
      <w:r>
        <w:rPr/>
        <w:t>The acquisition of capacity and rights on fibre optic cables, satellites and undersea cables is unlikely to be considered as "broadcasting" as long as it is not involved in the obtaining and distribution of editorially designed content to the end-customer as described above.</w:t>
      </w:r>
    </w:p>
    <w:p>
      <w:pPr>
        <w:pStyle w:val="BodyText"/>
        <w:numPr>
          <w:ilvl w:val="0"/>
          <w:numId w:val="12"/>
        </w:numPr>
        <w:tabs>
          <w:tab w:val="clear" w:pos="720"/>
        </w:tabs>
        <w:ind w:hanging="360" w:start="990" w:end="0"/>
        <w:rPr/>
      </w:pPr>
      <w:r>
        <w:rPr/>
        <w:t>The trading or reselling of excess bandwidth capacity, is unlikely to be considered as "broadcasting" as long as it is not involved in the obtaining and distribution of editorially designed content to the end-customer as described above.</w:t>
      </w:r>
    </w:p>
    <w:p>
      <w:pPr>
        <w:pStyle w:val="BodyText"/>
        <w:numPr>
          <w:ilvl w:val="0"/>
          <w:numId w:val="12"/>
        </w:numPr>
        <w:tabs>
          <w:tab w:val="clear" w:pos="720"/>
        </w:tabs>
        <w:ind w:hanging="360" w:start="990" w:end="0"/>
        <w:rPr/>
      </w:pPr>
      <w:r>
        <w:rPr/>
        <w:t xml:space="preserve">The developing and deploying of software, hardware and middleware applications is unlikely to be considered as "broadcasting" as long as it is not involved in the obtaining and distribution of editorially designed content to the end-customer as described above. </w:t>
      </w:r>
    </w:p>
    <w:p>
      <w:pPr>
        <w:pStyle w:val="Heading2"/>
        <w:ind w:hanging="0" w:start="0"/>
        <w:rPr>
          <w:b w:val="false"/>
        </w:rPr>
      </w:pPr>
      <w:r>
        <w:rPr>
          <w:b w:val="false"/>
        </w:rPr>
        <w:t>The provision of e-commerce sales services and support by ECI falls, in principle, under the Teleservices Act and cannot be considered to be "broadcasting" as long as it does not go beyond the activities described in our Assumptions. However, these services must be distinguished from teleshopping which, in some cases, could be considered to be "broadcasting". According to the DLM, tele shopping is to be treated as broadcasting if:</w:t>
      </w:r>
    </w:p>
    <w:p>
      <w:pPr>
        <w:pStyle w:val="BodyText"/>
        <w:numPr>
          <w:ilvl w:val="0"/>
          <w:numId w:val="19"/>
        </w:numPr>
        <w:tabs>
          <w:tab w:val="clear" w:pos="720"/>
          <w:tab w:val="left" w:pos="1080" w:leader="none"/>
        </w:tabs>
        <w:ind w:hanging="360" w:start="1080" w:end="0"/>
        <w:rPr/>
      </w:pPr>
      <w:r>
        <w:rPr/>
        <w:t>what is shown contains informational components which no longer display any relation to the product(s) in question;</w:t>
      </w:r>
    </w:p>
    <w:p>
      <w:pPr>
        <w:pStyle w:val="BodyText"/>
        <w:numPr>
          <w:ilvl w:val="0"/>
          <w:numId w:val="19"/>
        </w:numPr>
        <w:tabs>
          <w:tab w:val="clear" w:pos="720"/>
          <w:tab w:val="left" w:pos="1080" w:leader="none"/>
        </w:tabs>
        <w:ind w:hanging="360" w:start="1080" w:end="0"/>
        <w:rPr/>
      </w:pPr>
      <w:r>
        <w:rPr/>
        <w:t xml:space="preserve">the product presentation is integrated into entertainment shows or is part of a game show, competition, sweepstake or the like; or </w:t>
      </w:r>
    </w:p>
    <w:p>
      <w:pPr>
        <w:pStyle w:val="BodyText"/>
        <w:numPr>
          <w:ilvl w:val="0"/>
          <w:numId w:val="19"/>
        </w:numPr>
        <w:tabs>
          <w:tab w:val="clear" w:pos="720"/>
          <w:tab w:val="left" w:pos="1080" w:leader="none"/>
        </w:tabs>
        <w:ind w:hanging="360" w:start="1080" w:end="0"/>
        <w:rPr/>
      </w:pPr>
      <w:r>
        <w:rPr/>
        <w:t xml:space="preserve">the sales aim is not consistently and clearly set out. </w:t>
      </w:r>
    </w:p>
    <w:p>
      <w:pPr>
        <w:pStyle w:val="Heading1"/>
        <w:ind w:hanging="0" w:start="0"/>
        <w:rPr>
          <w:b w:val="false"/>
        </w:rPr>
      </w:pPr>
      <w:r>
        <w:rPr>
          <w:b w:val="false"/>
          <w:caps w:val="false"/>
          <w:smallCaps w:val="false"/>
        </w:rPr>
        <w:t xml:space="preserve">A "broadcast company" for the purposes of the German broadcasting regulation is a company which obtains and distributes editorially designed content for the public for which it has editorial responsibility. </w:t>
      </w:r>
    </w:p>
    <w:p>
      <w:pPr>
        <w:pStyle w:val="BodyText"/>
        <w:numPr>
          <w:ilvl w:val="0"/>
          <w:numId w:val="0"/>
        </w:numPr>
        <w:ind w:hanging="0" w:start="660" w:end="0"/>
        <w:rPr/>
      </w:pPr>
      <w:r>
        <w:rPr/>
        <w:t xml:space="preserve">As long as ECI does not obtain and distribute editorially designed content for which it has editorial responsibility and deliver this content to the end-customer, ECI cannot be considered to be a "broadcast" company. </w:t>
      </w:r>
    </w:p>
    <w:p>
      <w:pPr>
        <w:pStyle w:val="ListAlpha2"/>
        <w:numPr>
          <w:ilvl w:val="1"/>
          <w:numId w:val="16"/>
        </w:numPr>
        <w:ind w:hanging="0" w:start="0"/>
        <w:rPr/>
      </w:pPr>
      <w:r>
        <w:rPr/>
        <w:t>What types of services could be provided or activities be conducted that would not be characterised as telecommunications or broadcast services or activities? Is there a way to separate the services and activities among different entities to allow different treatment?</w:t>
      </w:r>
    </w:p>
    <w:p>
      <w:pPr>
        <w:pStyle w:val="Heading1"/>
        <w:ind w:hanging="0" w:start="0"/>
        <w:rPr>
          <w:b w:val="false"/>
        </w:rPr>
      </w:pPr>
      <w:r>
        <w:rPr>
          <w:b w:val="false"/>
          <w:caps w:val="false"/>
          <w:smallCaps w:val="false"/>
        </w:rPr>
        <w:t xml:space="preserve">In general, the mere </w:t>
      </w:r>
      <w:r>
        <w:rPr>
          <w:b w:val="false"/>
          <w:i/>
          <w:caps w:val="false"/>
          <w:smallCaps w:val="false"/>
        </w:rPr>
        <w:t>establishing</w:t>
      </w:r>
      <w:r>
        <w:rPr>
          <w:b w:val="false"/>
          <w:caps w:val="false"/>
          <w:smallCaps w:val="false"/>
        </w:rPr>
        <w:t xml:space="preserve"> of a network and physical points of presence would not be characterised as "telecommunications services" as long as such facilities are not operated by ECI and no services are being offered by ECI itself. The entity operating the facilities and/or operating the network as would be characterised as carrying out or providing telecommunications activities or services respectively.  Further, as the definition of telecommunications services or activities is linked to the technical process of sending, transmitting and receiving information, any purely content-related activities (i.e. Providing content, rather than providing value-added telecommunications services related but rather related to the technical aspect of transporting signals or providing capacity) or mere technical assistance would not be regulated under German telecommunications law. Hence, the provision of content (see above paragraph (b) for media law), the development of software, hardware and middleware applications (including the mere deploying of software as long as it does not involve the technical process of sending, transmitting and receiving information itself) and providing e-commerce sales, services and support would not be characterised and regulated as telecommunications services or activities, as long as these activities do not involve the sending, transmitting and receiving any kind of message nor any network operation. However, the line between these activities can be very narrow, especially if one were to examine particular enhanced value-added services which may, for example, also contain certain hardware components. </w:t>
      </w:r>
    </w:p>
    <w:p>
      <w:pPr>
        <w:pStyle w:val="BodyText"/>
        <w:numPr>
          <w:ilvl w:val="0"/>
          <w:numId w:val="0"/>
        </w:numPr>
        <w:ind w:hanging="0" w:start="660" w:end="0"/>
        <w:rPr/>
      </w:pPr>
      <w:r>
        <w:rPr/>
        <w:t>Such content-related services and activities are therefore, from a regulatory perspective, different from telecommunications services. Whether or not they should be provided by different entities is first and foremost a commercial decision.  Different treatment does not, in principle, lead to the necessity to separate activities into different legal entities. Leaving aside aspects of special requirements for telecommunications carriers or service providers having a dominant position in certain markets, different treatment of activities carried out by one entity (e.g. necessity to obtain a license for a certain activity) is possible.  It might as a practical matter, however, be useful to separate certain service components into different customer contracts in order to set up clear border lines between certain activities.</w:t>
      </w:r>
    </w:p>
    <w:p>
      <w:pPr>
        <w:pStyle w:val="BodyText"/>
        <w:numPr>
          <w:ilvl w:val="0"/>
          <w:numId w:val="0"/>
        </w:numPr>
        <w:ind w:hanging="0" w:start="660" w:end="0"/>
        <w:rPr/>
      </w:pPr>
      <w:r>
        <w:rPr/>
        <w:t xml:space="preserve">In order to assist you in structuring your activities into one or more entities or one or more contracts, we would need to have more details on the business activities to be performed in fact. </w:t>
      </w:r>
    </w:p>
    <w:p>
      <w:pPr>
        <w:pStyle w:val="BodyText"/>
        <w:numPr>
          <w:ilvl w:val="0"/>
          <w:numId w:val="0"/>
        </w:numPr>
        <w:ind w:hanging="0" w:start="660" w:end="0"/>
        <w:rPr/>
      </w:pPr>
      <w:r>
        <w:rPr/>
        <w:t>Finally, it should be noted that historically, the applicability of the German telecommunications law regime has been subject to a broad interpretation. Many players have established separate entities with regard to (i) network operation, (ii) service provision and (iii) web design (i.e. content-related activities), only the latter not being regulated by the telecommunications law regime (but possibly falling under the regime for teleservices, see above paragraph (b) above and below Section 3).</w:t>
      </w:r>
    </w:p>
    <w:p>
      <w:pPr>
        <w:pStyle w:val="Heading1"/>
        <w:ind w:hanging="0" w:start="0"/>
        <w:rPr>
          <w:b w:val="false"/>
        </w:rPr>
      </w:pPr>
      <w:r>
        <w:rPr>
          <w:b w:val="false"/>
          <w:caps w:val="false"/>
          <w:smallCaps w:val="false"/>
        </w:rPr>
        <w:t>According to the current practice of the State Media Authorities, the following services and activities are not subject to broadcasting regulation:</w:t>
      </w:r>
    </w:p>
    <w:p>
      <w:pPr>
        <w:pStyle w:val="BodyText"/>
        <w:numPr>
          <w:ilvl w:val="0"/>
          <w:numId w:val="9"/>
        </w:numPr>
        <w:tabs>
          <w:tab w:val="clear" w:pos="720"/>
          <w:tab w:val="left" w:pos="1080" w:leader="none"/>
        </w:tabs>
        <w:ind w:hanging="360" w:start="1080" w:end="0"/>
        <w:rPr/>
      </w:pPr>
      <w:r>
        <w:rPr/>
        <w:t>Teleservices;</w:t>
      </w:r>
    </w:p>
    <w:p>
      <w:pPr>
        <w:pStyle w:val="BodyText"/>
        <w:numPr>
          <w:ilvl w:val="0"/>
          <w:numId w:val="9"/>
        </w:numPr>
        <w:tabs>
          <w:tab w:val="clear" w:pos="720"/>
          <w:tab w:val="left" w:pos="1080" w:leader="none"/>
        </w:tabs>
        <w:ind w:hanging="360" w:start="1080" w:end="0"/>
        <w:rPr/>
      </w:pPr>
      <w:r>
        <w:rPr/>
        <w:t>Telebanking;</w:t>
      </w:r>
    </w:p>
    <w:p>
      <w:pPr>
        <w:pStyle w:val="BodyText"/>
        <w:numPr>
          <w:ilvl w:val="0"/>
          <w:numId w:val="9"/>
        </w:numPr>
        <w:tabs>
          <w:tab w:val="clear" w:pos="720"/>
          <w:tab w:val="left" w:pos="1080" w:leader="none"/>
        </w:tabs>
        <w:ind w:hanging="360" w:start="1080" w:end="0"/>
        <w:rPr/>
      </w:pPr>
      <w:r>
        <w:rPr/>
        <w:t>Teleworking;</w:t>
      </w:r>
    </w:p>
    <w:p>
      <w:pPr>
        <w:pStyle w:val="BodyText"/>
        <w:numPr>
          <w:ilvl w:val="0"/>
          <w:numId w:val="9"/>
        </w:numPr>
        <w:tabs>
          <w:tab w:val="clear" w:pos="720"/>
          <w:tab w:val="left" w:pos="1080" w:leader="none"/>
        </w:tabs>
        <w:ind w:hanging="360" w:start="1080" w:end="0"/>
        <w:rPr/>
      </w:pPr>
      <w:r>
        <w:rPr/>
        <w:t>Financial data retrieval services;</w:t>
      </w:r>
    </w:p>
    <w:p>
      <w:pPr>
        <w:pStyle w:val="BodyText"/>
        <w:numPr>
          <w:ilvl w:val="0"/>
          <w:numId w:val="9"/>
        </w:numPr>
        <w:tabs>
          <w:tab w:val="clear" w:pos="720"/>
          <w:tab w:val="left" w:pos="1080" w:leader="none"/>
        </w:tabs>
        <w:ind w:hanging="360" w:start="1080" w:end="0"/>
        <w:rPr/>
      </w:pPr>
      <w:r>
        <w:rPr/>
        <w:t>Electronic ordering services;</w:t>
      </w:r>
    </w:p>
    <w:p>
      <w:pPr>
        <w:pStyle w:val="BodyText"/>
        <w:numPr>
          <w:ilvl w:val="0"/>
          <w:numId w:val="9"/>
        </w:numPr>
        <w:tabs>
          <w:tab w:val="clear" w:pos="720"/>
          <w:tab w:val="left" w:pos="1080" w:leader="none"/>
        </w:tabs>
        <w:ind w:hanging="360" w:start="1080" w:end="0"/>
        <w:rPr/>
      </w:pPr>
      <w:r>
        <w:rPr/>
        <w:t>Media services;</w:t>
      </w:r>
    </w:p>
    <w:p>
      <w:pPr>
        <w:pStyle w:val="BodyText"/>
        <w:numPr>
          <w:ilvl w:val="0"/>
          <w:numId w:val="9"/>
        </w:numPr>
        <w:tabs>
          <w:tab w:val="clear" w:pos="720"/>
          <w:tab w:val="left" w:pos="1080" w:leader="none"/>
        </w:tabs>
        <w:ind w:hanging="360" w:start="1080" w:end="0"/>
        <w:rPr/>
      </w:pPr>
      <w:r>
        <w:rPr/>
        <w:t>Video-on-demand;</w:t>
      </w:r>
    </w:p>
    <w:p>
      <w:pPr>
        <w:pStyle w:val="BodyText"/>
        <w:numPr>
          <w:ilvl w:val="0"/>
          <w:numId w:val="9"/>
        </w:numPr>
        <w:tabs>
          <w:tab w:val="clear" w:pos="720"/>
          <w:tab w:val="left" w:pos="1080" w:leader="none"/>
        </w:tabs>
        <w:ind w:hanging="360" w:start="1080" w:end="0"/>
        <w:rPr/>
      </w:pPr>
      <w:r>
        <w:rPr/>
        <w:t>Electronic newspapers; and</w:t>
      </w:r>
    </w:p>
    <w:p>
      <w:pPr>
        <w:pStyle w:val="BodyText"/>
        <w:numPr>
          <w:ilvl w:val="0"/>
          <w:numId w:val="9"/>
        </w:numPr>
        <w:tabs>
          <w:tab w:val="clear" w:pos="720"/>
          <w:tab w:val="left" w:pos="1080" w:leader="none"/>
        </w:tabs>
        <w:ind w:hanging="360" w:start="1080" w:end="0"/>
        <w:rPr/>
      </w:pPr>
      <w:r>
        <w:rPr/>
        <w:t>Data services.</w:t>
      </w:r>
    </w:p>
    <w:p>
      <w:pPr>
        <w:pStyle w:val="BodyText"/>
        <w:numPr>
          <w:ilvl w:val="0"/>
          <w:numId w:val="0"/>
        </w:numPr>
        <w:ind w:hanging="0" w:start="660" w:end="0"/>
        <w:rPr/>
      </w:pPr>
      <w:r>
        <w:rPr/>
        <w:t xml:space="preserve">These services either fall under the federal Internet regulation provisions of the Teleservices Act or under the regime for telecommunication services described above. Please see further Section 1(b) and Section 3. </w:t>
      </w:r>
    </w:p>
    <w:p>
      <w:pPr>
        <w:pStyle w:val="Heading1"/>
        <w:ind w:hanging="0" w:start="0"/>
        <w:rPr>
          <w:b w:val="false"/>
        </w:rPr>
      </w:pPr>
      <w:r>
        <w:rPr>
          <w:b w:val="false"/>
          <w:caps w:val="false"/>
          <w:smallCaps w:val="false"/>
        </w:rPr>
        <w:t>Since media services containing (minor) elements of broadcasting are subject to the licensing requirements under national broadcasting law, whether or not services or activities can be separated between entities in a way that the services and activities can be treated differently would depend on the exact type of the services and activities intended.  In principle, however, it is possible to separate services and activities among different entities to allow different treatment, e.g., Editorial responsibility for the content might be separated from the distribution activities.</w:t>
      </w:r>
    </w:p>
    <w:p>
      <w:pPr>
        <w:pStyle w:val="ListAlpha2"/>
        <w:numPr>
          <w:ilvl w:val="1"/>
          <w:numId w:val="16"/>
        </w:numPr>
        <w:ind w:hanging="0" w:start="0"/>
        <w:rPr/>
      </w:pPr>
      <w:r>
        <w:rPr>
          <w:lang w:val="en-US"/>
        </w:rPr>
        <w:t>Does the government (national, regional or municipal) regulate the establishment, location or architecture of telecommunications facilities?  A</w:t>
      </w:r>
      <w:r>
        <w:rPr/>
        <w:t>re any licences, permits, consents or other governmental approvals required (and, if so, by whom)?  If so (and in each case in this memorandum in which licenses are required), briefly describe the procedure and approximately how long it would take to obtain any such licenses, permits, consents or approvals.</w:t>
      </w:r>
    </w:p>
    <w:p>
      <w:pPr>
        <w:pStyle w:val="BodyText"/>
        <w:numPr>
          <w:ilvl w:val="0"/>
          <w:numId w:val="0"/>
        </w:numPr>
        <w:ind w:hanging="0" w:start="660" w:end="0"/>
        <w:rPr/>
      </w:pPr>
      <w:r>
        <w:rPr/>
        <w:t xml:space="preserve">In relation to telecommunications licensing, the German Telecommunications Act requires individual licences to be obtained in two circumstances: </w:t>
      </w:r>
    </w:p>
    <w:p>
      <w:pPr>
        <w:pStyle w:val="BodyText"/>
        <w:numPr>
          <w:ilvl w:val="0"/>
          <w:numId w:val="25"/>
        </w:numPr>
        <w:tabs>
          <w:tab w:val="clear" w:pos="720"/>
        </w:tabs>
        <w:ind w:hanging="360" w:start="990" w:end="0"/>
        <w:rPr/>
      </w:pPr>
      <w:r>
        <w:rPr/>
        <w:t xml:space="preserve">The operation of transmission lines </w:t>
      </w:r>
      <w:r>
        <w:rPr>
          <w:lang w:eastAsia="en-US"/>
        </w:rPr>
        <w:t>going beyond the limits of a property</w:t>
      </w:r>
      <w:r>
        <w:rPr/>
        <w:t xml:space="preserve"> and used to provide telecommunications services to the public (Sec. 6 para. 1 no. 1, Licence Classes 1-3); and </w:t>
      </w:r>
    </w:p>
    <w:p>
      <w:pPr>
        <w:pStyle w:val="BodyText"/>
        <w:numPr>
          <w:ilvl w:val="0"/>
          <w:numId w:val="25"/>
        </w:numPr>
        <w:tabs>
          <w:tab w:val="clear" w:pos="720"/>
        </w:tabs>
        <w:ind w:hanging="360" w:start="990" w:end="0"/>
        <w:rPr/>
      </w:pPr>
      <w:r>
        <w:rPr/>
        <w:t xml:space="preserve">The offer of voice telephony service based on self-operated telecommunications networks (Sec. 6 para. 1 no. 2, Licence Class 4).  </w:t>
      </w:r>
    </w:p>
    <w:p>
      <w:pPr>
        <w:pStyle w:val="BodyText"/>
        <w:numPr>
          <w:ilvl w:val="0"/>
          <w:numId w:val="12"/>
        </w:numPr>
        <w:ind w:hanging="0" w:start="0"/>
        <w:rPr/>
      </w:pPr>
      <w:r>
        <w:rPr/>
        <w:t xml:space="preserve">The latter is the only licence that directly covers the provision of a telecommunications service.  The first licence category relates to infrastructure! the licence is required for the operation of such infrastructure and not (by definition) the provision of a service (even if such service consists of selling or reselling of bandwidth capacity). </w:t>
      </w:r>
    </w:p>
    <w:p>
      <w:pPr>
        <w:pStyle w:val="BodyText"/>
        <w:numPr>
          <w:ilvl w:val="0"/>
          <w:numId w:val="12"/>
        </w:numPr>
        <w:ind w:hanging="0" w:start="0"/>
        <w:rPr/>
      </w:pPr>
      <w:r>
        <w:rPr/>
        <w:t xml:space="preserve">In the context of the ECI activities in this Report, only the infrastructure-related licences could be applicable. With regard to network development, the infrastructure licence class 3 (applicable to terrestrial telecommunications links not covered by mobile infrastructure), or the infrastructure licence class 2 (satellite links) could be applicable.  </w:t>
      </w:r>
    </w:p>
    <w:p>
      <w:pPr>
        <w:pStyle w:val="Heading2"/>
        <w:ind w:hanging="0" w:start="0"/>
        <w:rPr>
          <w:b w:val="false"/>
        </w:rPr>
      </w:pPr>
      <w:r>
        <w:rPr>
          <w:b w:val="false"/>
        </w:rPr>
        <w:t xml:space="preserve">A Class 3 licence would be required if an entity were to operate fixed transmission lines </w:t>
      </w:r>
      <w:r>
        <w:rPr>
          <w:b w:val="false"/>
          <w:lang w:eastAsia="en-US"/>
        </w:rPr>
        <w:t>going beyond the limits of a property</w:t>
      </w:r>
      <w:r>
        <w:rPr>
          <w:b w:val="false"/>
        </w:rPr>
        <w:t xml:space="preserve"> and used to provide telecommunications services to the public within the meaning of Section 6, para. 1 no. 1 of the Telecommunications Act.  </w:t>
      </w:r>
    </w:p>
    <w:p>
      <w:pPr>
        <w:pStyle w:val="BodyText"/>
        <w:numPr>
          <w:ilvl w:val="0"/>
          <w:numId w:val="0"/>
        </w:numPr>
        <w:ind w:hanging="0" w:start="660" w:end="0"/>
        <w:rPr/>
      </w:pPr>
      <w:r>
        <w:rPr/>
        <w:t>“</w:t>
      </w:r>
      <w:r>
        <w:rPr/>
        <w:t xml:space="preserve">Telecommunications services for the public” are telecommunications services (as defined in Section 3 no. 18 of the Telecommunications Act) offered to any natural or legal person and not just to members of closed user groups (Sec. 3 no. 19).  </w:t>
      </w:r>
      <w:r>
        <w:rPr>
          <w:kern w:val="2"/>
        </w:rPr>
        <w:t>According to the former interpretation by the Ministry of Posts and Telecommunications, closed user groups are not only defined by corporate structures (being associated and/or affiliated companies leading to a corporate network), but also by other legal or factual long-term relationships (suppliers, distributors, long term customers etc.) linking the members of the group.</w:t>
      </w:r>
    </w:p>
    <w:p>
      <w:pPr>
        <w:pStyle w:val="BodyText"/>
        <w:numPr>
          <w:ilvl w:val="0"/>
          <w:numId w:val="0"/>
        </w:numPr>
        <w:ind w:hanging="0" w:start="660" w:end="0"/>
        <w:rPr/>
      </w:pPr>
      <w:r>
        <w:rPr/>
        <w:t>“</w:t>
      </w:r>
      <w:r>
        <w:rPr/>
        <w:t>Property” is defined in Section 3 no. 6 of the Telecommunications Act as a part of the earth's surface entered in the Land Register as a separate property, or a part of the earth's surface which, due to the way it is economically used or to its outward appearance, forms a unit even where this unit consists of several properties under real property law.  Road and rail networks are not deemed a unit.  Therefore, for example, in-house networks do not require a licence because they would not go beyond the limits of "property" as defined.</w:t>
      </w:r>
    </w:p>
    <w:p>
      <w:pPr>
        <w:pStyle w:val="BodyText"/>
        <w:numPr>
          <w:ilvl w:val="0"/>
          <w:numId w:val="0"/>
        </w:numPr>
        <w:ind w:hanging="0" w:start="660" w:end="0"/>
        <w:rPr/>
      </w:pPr>
      <w:r>
        <w:rPr/>
        <w:t xml:space="preserve">Based on Sec. 3 no. 1 of the Telecommunications Act, the “operation” of transmission lines would require the exercise of </w:t>
      </w:r>
      <w:r>
        <w:rPr>
          <w:i/>
        </w:rPr>
        <w:t>de jure</w:t>
      </w:r>
      <w:r>
        <w:rPr/>
        <w:t xml:space="preserve"> and </w:t>
      </w:r>
      <w:r>
        <w:rPr>
          <w:i/>
        </w:rPr>
        <w:t>de facto</w:t>
      </w:r>
      <w:r>
        <w:rPr/>
        <w:t xml:space="preserve"> control ("functions control") over all the functions that must necessarily be provided for implementing information transmission on transmission lines.  In this context, it is not relevant whether that entity (the </w:t>
      </w:r>
      <w:r>
        <w:rPr>
          <w:i/>
        </w:rPr>
        <w:t>operator</w:t>
      </w:r>
      <w:r>
        <w:rPr/>
        <w:t xml:space="preserve">) owns the physical lines (e.g., the cable or fibre).  The only determining actor is whether the entity would have "functions control" over the transmission lines themselves. </w:t>
      </w:r>
    </w:p>
    <w:p>
      <w:pPr>
        <w:pStyle w:val="BodyText"/>
        <w:numPr>
          <w:ilvl w:val="0"/>
          <w:numId w:val="0"/>
        </w:numPr>
        <w:ind w:hanging="0" w:start="660" w:end="0"/>
        <w:rPr/>
      </w:pPr>
      <w:r>
        <w:rPr>
          <w:kern w:val="2"/>
        </w:rPr>
        <w:t xml:space="preserve">The question of the exercise of </w:t>
      </w:r>
      <w:r>
        <w:rPr>
          <w:i/>
          <w:kern w:val="2"/>
        </w:rPr>
        <w:t xml:space="preserve">de jure </w:t>
      </w:r>
      <w:r>
        <w:rPr>
          <w:kern w:val="2"/>
        </w:rPr>
        <w:t xml:space="preserve">and </w:t>
      </w:r>
      <w:r>
        <w:rPr>
          <w:i/>
          <w:kern w:val="2"/>
        </w:rPr>
        <w:t xml:space="preserve">de facto </w:t>
      </w:r>
      <w:r>
        <w:rPr>
          <w:kern w:val="2"/>
        </w:rPr>
        <w:t>control with regard to transmission lines depends on whether the operator controls the equipment enabling information transmission.  This is usually determined by looking at who has unconditional access to the relevant facilities and equipment, who is in possession of the facilities and equipment, who is the employer of the personnel in charge of managing the Bandwidth etc.  The decisive factor is an overall evaluation of who is ultimately responsible for the transmission line.  In short, the entity who is responsible for creating Bandwidth is the operator that needs to obtain a Class 3 licence.</w:t>
      </w:r>
    </w:p>
    <w:p>
      <w:pPr>
        <w:pStyle w:val="BodyText"/>
        <w:numPr>
          <w:ilvl w:val="0"/>
          <w:numId w:val="0"/>
        </w:numPr>
        <w:ind w:hanging="0" w:start="660" w:end="0"/>
        <w:rPr/>
      </w:pPr>
      <w:r>
        <w:rPr/>
        <w:t>Since the licence requirement for a Class 3 licence is based on the operation of transmission lines, the operator of a network does not necessarily need to obtain such a licence because network operation may be based on transmission lines purchased, or rather leased, from another (licensed) operator.  Discussions we have had previously with our contacts at the German Regulatory Authority (</w:t>
      </w:r>
      <w:r>
        <w:rPr>
          <w:i/>
        </w:rPr>
        <w:t>Regulierungsbehörde für Telekommunikation und Post - RegTP</w:t>
      </w:r>
      <w:r>
        <w:rPr/>
        <w:t>), together with the current licensing practice of the Regulatory Authority, suggest that whenever transmission lines are leased or purchased from a licensed operator/carrier and used, re-leased or re-sold by a second operator (e.g., by way of channel division inducing multiplexing facilities), the second operator does not need to obtain a Class 3 licence. The second operator may well be operating a network on the basis of the transmission lines obtained from the first operator and he may be providing services over such network including (re-)sale of capacity.  However, the second operator would not have "functions control" over the transmission as this is retained by the first operator.</w:t>
      </w:r>
    </w:p>
    <w:p>
      <w:pPr>
        <w:pStyle w:val="BodyText"/>
        <w:numPr>
          <w:ilvl w:val="0"/>
          <w:numId w:val="0"/>
        </w:numPr>
        <w:ind w:hanging="0" w:start="660" w:end="0"/>
        <w:rPr/>
      </w:pPr>
      <w:r>
        <w:rPr/>
        <w:t xml:space="preserve">On the other hand, if an entity purchases or leases mere physical infrastructure from a non-licensed constructor of a network (e.g. a lease of dark fibre), and the entity uses such infrastructure for operating a network and/or to sell excess bandwidth capacity, such entity would need to obtain a telecommunications licence.  In these circumstances, the entity would be deemed to have created the transmission capacity and to have functions control over it. </w:t>
      </w:r>
    </w:p>
    <w:p>
      <w:pPr>
        <w:pStyle w:val="Heading2"/>
        <w:ind w:hanging="0" w:start="0"/>
        <w:rPr>
          <w:b w:val="false"/>
        </w:rPr>
      </w:pPr>
      <w:r>
        <w:rPr>
          <w:b w:val="false"/>
        </w:rPr>
        <w:t xml:space="preserve">A Class 2 licence would be required if an entity were to operate satellite transmission lines </w:t>
      </w:r>
      <w:r>
        <w:rPr>
          <w:b w:val="false"/>
          <w:lang w:eastAsia="en-US"/>
        </w:rPr>
        <w:t>going beyond the limits of a property</w:t>
      </w:r>
      <w:r>
        <w:rPr>
          <w:b w:val="false"/>
        </w:rPr>
        <w:t xml:space="preserve"> and used to provide telecommunications services for the public within the meaning of Section 6, para. 1 no. 1 of the Telecommunications Act.  Based on the definitions given above, a Class 2 licence needs to be obtained if ECI were to operate (as defined above) the earth station located in Germany. Such licence will only be granted if the necessary frequencies are available and were allocated to ECI. Frequency allocation is generally a separate procedure, which may however be combined with the licensing procedure. </w:t>
      </w:r>
    </w:p>
    <w:p>
      <w:pPr>
        <w:pStyle w:val="BodyText"/>
        <w:numPr>
          <w:ilvl w:val="0"/>
          <w:numId w:val="0"/>
        </w:numPr>
        <w:ind w:hanging="0" w:start="660" w:end="0"/>
        <w:rPr/>
      </w:pPr>
      <w:r>
        <w:rPr/>
        <w:t>No licence, however, is required for lease and use of transponder capacity of a satellite operated by a third party.</w:t>
      </w:r>
    </w:p>
    <w:p>
      <w:pPr>
        <w:pStyle w:val="Heading2"/>
        <w:ind w:hanging="0" w:start="0"/>
        <w:rPr/>
      </w:pPr>
      <w:r>
        <w:rPr/>
        <w:t>Licence Fees</w:t>
      </w:r>
    </w:p>
    <w:p>
      <w:pPr>
        <w:pStyle w:val="BodyText"/>
        <w:numPr>
          <w:ilvl w:val="0"/>
          <w:numId w:val="0"/>
        </w:numPr>
        <w:ind w:hanging="0" w:start="660" w:end="0"/>
        <w:rPr/>
      </w:pPr>
      <w:r>
        <w:rPr/>
        <w:t>Under the Tlecommunications Licence Fee Ordinance, the licencee is obliged to pay a one-off fee on the basis of whether he is applying for a license covering a defined area (defined by political borders of a city, district, federal state etc.) or just covering point-to-point lines.  For example, if ECI were to apply for a nationwide Class 3 licence, the licence fee would be 10.6 million. DM.  If ECI were to obtain a more geographically limited licence, the licence fee for area licences would be determined according to the following formula: (number of inhabitants in the licence area) x (maximum licence fee) ÷ (total number of inhabitants in Germany).  In the case of a licnce for the Frankfurt area, for example, the formula would therefore result in a 87,314.66 DM licence fee. The same calculation will have to be done for any other licence area. The licence fee for point-to-point transmission lines fee is calculated on the basis of DM 600 per kilometre of the line.</w:t>
      </w:r>
    </w:p>
    <w:p>
      <w:pPr>
        <w:pStyle w:val="BodyText"/>
        <w:numPr>
          <w:ilvl w:val="0"/>
          <w:numId w:val="0"/>
        </w:numPr>
        <w:ind w:hanging="0" w:start="660" w:end="0"/>
        <w:rPr/>
      </w:pPr>
      <w:r>
        <w:rPr/>
        <w:t>Licence fees for Class 2 licences are subject to a fee determination based on the individual case.  In addition, frequency allocation and frequency usage fees will be levied.</w:t>
      </w:r>
    </w:p>
    <w:p>
      <w:pPr>
        <w:pStyle w:val="Heading1"/>
        <w:ind w:hanging="0" w:start="0"/>
        <w:rPr>
          <w:i/>
          <w:i/>
        </w:rPr>
      </w:pPr>
      <w:r>
        <w:rPr>
          <w:i/>
          <w:caps w:val="false"/>
          <w:smallCaps w:val="false"/>
        </w:rPr>
        <w:t>Telecommunications licence application procedure</w:t>
      </w:r>
    </w:p>
    <w:p>
      <w:pPr>
        <w:pStyle w:val="BodyText"/>
        <w:numPr>
          <w:ilvl w:val="0"/>
          <w:numId w:val="0"/>
        </w:numPr>
        <w:ind w:hanging="0" w:start="660" w:end="0"/>
        <w:rPr/>
      </w:pPr>
      <w:r>
        <w:rPr/>
        <w:t xml:space="preserve">To be granted a licence, the applicant must have functions control over the network and establish that the applicant (i) is reliable, (ii) is efficient and has sufficient financial resources, and (iii) has sufficient specialised (in particular technical) knowledge in order to exercise the licence right.  </w:t>
      </w:r>
    </w:p>
    <w:p>
      <w:pPr>
        <w:pStyle w:val="BodyText"/>
        <w:numPr>
          <w:ilvl w:val="0"/>
          <w:numId w:val="0"/>
        </w:numPr>
        <w:ind w:hanging="0" w:start="660" w:end="0"/>
        <w:rPr/>
      </w:pPr>
      <w:r>
        <w:rPr/>
        <w:t>A written application in German language would need to be sent to:</w:t>
      </w:r>
    </w:p>
    <w:p>
      <w:pPr>
        <w:pStyle w:val="Header"/>
        <w:spacing w:lineRule="auto" w:line="264" w:before="0" w:after="0"/>
        <w:ind w:hanging="770" w:start="1430" w:end="0"/>
        <w:rPr/>
      </w:pPr>
      <w:r>
        <w:rPr/>
        <w:t>Regulierungsbehörde für Telekommunikation und Post</w:t>
      </w:r>
    </w:p>
    <w:p>
      <w:pPr>
        <w:pStyle w:val="Header"/>
        <w:spacing w:lineRule="auto" w:line="264" w:before="0" w:after="0"/>
        <w:ind w:hanging="660" w:start="1320" w:end="0"/>
        <w:rPr/>
      </w:pPr>
      <w:r>
        <w:rPr/>
        <w:t>- Referat 126 (for licences Classes 1 and 2)</w:t>
      </w:r>
    </w:p>
    <w:p>
      <w:pPr>
        <w:pStyle w:val="Header"/>
        <w:spacing w:lineRule="auto" w:line="264" w:before="0" w:after="0"/>
        <w:ind w:hanging="660" w:start="1320" w:end="0"/>
        <w:rPr/>
      </w:pPr>
      <w:r>
        <w:rPr/>
        <w:t>- Referat 127 (for licences Classes 3 and 4)</w:t>
      </w:r>
    </w:p>
    <w:p>
      <w:pPr>
        <w:pStyle w:val="Header"/>
        <w:spacing w:lineRule="auto" w:line="264" w:before="0" w:after="0"/>
        <w:ind w:hanging="660" w:start="1320" w:end="0"/>
        <w:rPr/>
      </w:pPr>
      <w:r>
        <w:rPr/>
        <w:t>Postfach 8001</w:t>
      </w:r>
    </w:p>
    <w:p>
      <w:pPr>
        <w:pStyle w:val="Header"/>
        <w:spacing w:lineRule="auto" w:line="264"/>
        <w:ind w:hanging="660" w:start="1320" w:end="0"/>
        <w:rPr/>
      </w:pPr>
      <w:r>
        <w:rPr/>
        <w:t>55003 Mainz.</w:t>
      </w:r>
    </w:p>
    <w:p>
      <w:pPr>
        <w:pStyle w:val="BodyText"/>
        <w:numPr>
          <w:ilvl w:val="0"/>
          <w:numId w:val="12"/>
        </w:numPr>
        <w:ind w:hanging="360" w:start="711" w:end="0"/>
        <w:rPr/>
      </w:pPr>
      <w:r>
        <w:rPr/>
        <w:t>The information and documents to be provided in the application include a description of services to be provided, geographic area of coverage, commencement service, corporate information, proof of technical competence, financial resources and reliabilitity and an implementation timetable.</w:t>
      </w:r>
    </w:p>
    <w:p>
      <w:pPr>
        <w:pStyle w:val="BodyText"/>
        <w:numPr>
          <w:ilvl w:val="0"/>
          <w:numId w:val="12"/>
        </w:numPr>
        <w:ind w:hanging="360" w:start="711" w:end="0"/>
        <w:rPr/>
      </w:pPr>
      <w:r>
        <w:rPr/>
        <w:t>There are no restrictions as to the number of licenses, unless the exercise of the license requires the usage of frequencies and there are not enough frequencies available.  Furthermore there are no restrictions as to foreign ownership of licensed carriers.  Even though the Telecommunications Act foresees a suggested period for the licence award of six weeks, in practice the procedure takes no less than 3 months.</w:t>
      </w:r>
    </w:p>
    <w:p>
      <w:pPr>
        <w:pStyle w:val="Normal"/>
        <w:rPr/>
      </w:pPr>
      <w:r>
        <w:rPr/>
        <w:t>2.</w:t>
        <w:tab/>
        <w:t>Other telecommunications permits, consents or approvals</w:t>
      </w:r>
    </w:p>
    <w:p>
      <w:pPr>
        <w:pStyle w:val="BodyText"/>
        <w:numPr>
          <w:ilvl w:val="0"/>
          <w:numId w:val="12"/>
        </w:numPr>
        <w:ind w:hanging="0" w:start="0"/>
        <w:rPr/>
      </w:pPr>
      <w:r>
        <w:rPr/>
        <w:t>Under Section 87 of the Telecommunications Act, the operator of a telecommunications system that is used for the commercial provision of telecommunications services must take appropriate technical precautions or other measures with regard to telecommunications and data processing systems operated for the said purpose in order to protect:</w:t>
      </w:r>
    </w:p>
    <w:p>
      <w:pPr>
        <w:pStyle w:val="Normal"/>
        <w:numPr>
          <w:ilvl w:val="0"/>
          <w:numId w:val="11"/>
        </w:numPr>
        <w:tabs>
          <w:tab w:val="clear" w:pos="720"/>
          <w:tab w:val="left" w:pos="-360" w:leader="none"/>
        </w:tabs>
        <w:ind w:hanging="360" w:start="1080" w:end="0"/>
        <w:rPr/>
      </w:pPr>
      <w:r>
        <w:rPr/>
        <w:t>telecommunications secrecy and personal data;</w:t>
      </w:r>
    </w:p>
    <w:p>
      <w:pPr>
        <w:pStyle w:val="Normal"/>
        <w:numPr>
          <w:ilvl w:val="0"/>
          <w:numId w:val="11"/>
        </w:numPr>
        <w:tabs>
          <w:tab w:val="clear" w:pos="720"/>
          <w:tab w:val="left" w:pos="-360" w:leader="none"/>
        </w:tabs>
        <w:ind w:hanging="360" w:start="1080" w:end="0"/>
        <w:rPr/>
      </w:pPr>
      <w:r>
        <w:rPr/>
        <w:t>programme-controlled telecommunications and data processing systems against unauthorised access;</w:t>
      </w:r>
    </w:p>
    <w:p>
      <w:pPr>
        <w:pStyle w:val="Normal"/>
        <w:numPr>
          <w:ilvl w:val="0"/>
          <w:numId w:val="11"/>
        </w:numPr>
        <w:tabs>
          <w:tab w:val="clear" w:pos="720"/>
          <w:tab w:val="left" w:pos="-360" w:leader="none"/>
        </w:tabs>
        <w:ind w:hanging="360" w:start="1080" w:end="0"/>
        <w:rPr/>
      </w:pPr>
      <w:r>
        <w:rPr/>
        <w:t>systems against disruptions that result in significant harm to telecommunications networks; and</w:t>
      </w:r>
    </w:p>
    <w:p>
      <w:pPr>
        <w:pStyle w:val="Normal"/>
        <w:numPr>
          <w:ilvl w:val="0"/>
          <w:numId w:val="11"/>
        </w:numPr>
        <w:tabs>
          <w:tab w:val="clear" w:pos="720"/>
          <w:tab w:val="left" w:pos="-360" w:leader="none"/>
        </w:tabs>
        <w:ind w:hanging="360" w:start="1080" w:end="0"/>
        <w:rPr/>
      </w:pPr>
      <w:r>
        <w:rPr/>
        <w:t>telecommunications and data processing systems against external attack and the effects of natural disasters.</w:t>
      </w:r>
    </w:p>
    <w:p>
      <w:pPr>
        <w:pStyle w:val="BodyText"/>
        <w:numPr>
          <w:ilvl w:val="0"/>
          <w:numId w:val="12"/>
        </w:numPr>
        <w:ind w:hanging="0" w:start="0"/>
        <w:rPr/>
      </w:pPr>
      <w:r>
        <w:rPr/>
        <w:t xml:space="preserve">In the event that the operator would also be a licensed operator, he would have to provide a security concept the Regulatory Authority covering the points above and would have to submit a declaration to the Regulatory Authority as to the implementation of the concept.  </w:t>
      </w:r>
    </w:p>
    <w:p>
      <w:pPr>
        <w:pStyle w:val="BodyText"/>
        <w:numPr>
          <w:ilvl w:val="0"/>
          <w:numId w:val="12"/>
        </w:numPr>
        <w:ind w:hanging="0" w:start="0"/>
        <w:rPr/>
      </w:pPr>
      <w:r>
        <w:rPr/>
        <w:t xml:space="preserve">Further, a licensed operator has to obtain approval of the Regulatory Authority in accordance with Section 88 of the Telecommunications Act regarding the implementation of interception measures. Section 88 of the Telecommunications Act deals with technical implementation of intercepts.  Subsection 1 states that the technical facilities for implementing legally prescribed measures for the interception of telecommunications shall be configured and kept available by the operator of the telecommunications system at his own expense. It shall be mentioned that further details about interception are laid down in an ordinance having the force of law.  At the moment, the Telecommunications Traffic Interception Ordinance </w:t>
      </w:r>
      <w:r>
        <w:rPr>
          <w:i/>
        </w:rPr>
        <w:t>(Fernmeldeverkehr-Überwachungs-Verordnung - FÜV)</w:t>
      </w:r>
      <w:r>
        <w:rPr/>
        <w:t xml:space="preserve"> of 18 May 1995 is still in force but the Federal Ministry of Economic Affairs and Technology has issued general guidelines for a new Telecommunications Interception Ordinance </w:t>
      </w:r>
      <w:r>
        <w:rPr>
          <w:i/>
        </w:rPr>
        <w:t>(Telekommunikations-Überwachungsverordnung - TKÜV)</w:t>
      </w:r>
      <w:r>
        <w:rPr/>
        <w:t xml:space="preserve">.  This new ordinance is likely to deal, </w:t>
      </w:r>
      <w:r>
        <w:rPr>
          <w:i/>
        </w:rPr>
        <w:t>inter alia,</w:t>
      </w:r>
      <w:r>
        <w:rPr/>
        <w:t xml:space="preserve"> with the group of persons falling under the obligations and potential exceptions for long distance voice carriers without customer access and smaller telecommunications systems.</w:t>
      </w:r>
    </w:p>
    <w:p>
      <w:pPr>
        <w:pStyle w:val="BodyText"/>
        <w:numPr>
          <w:ilvl w:val="0"/>
          <w:numId w:val="12"/>
        </w:numPr>
        <w:ind w:hanging="0" w:start="0"/>
        <w:rPr/>
      </w:pPr>
      <w:r>
        <w:rPr/>
        <w:t xml:space="preserve">Special approval requirements do exist </w:t>
      </w:r>
      <w:r>
        <w:rPr>
          <w:i/>
        </w:rPr>
        <w:t>inter alia</w:t>
      </w:r>
      <w:r>
        <w:rPr/>
        <w:t xml:space="preserve"> for the establishment of terminal equipment. Section 3 no. 3 of the Telecommunications Act describes </w:t>
      </w:r>
    </w:p>
    <w:p>
      <w:pPr>
        <w:pStyle w:val="BodyText"/>
        <w:numPr>
          <w:ilvl w:val="0"/>
          <w:numId w:val="12"/>
        </w:numPr>
        <w:ind w:hanging="360" w:start="1440" w:end="0"/>
        <w:rPr>
          <w:lang w:val="en-US" w:eastAsia="en-US"/>
        </w:rPr>
      </w:pPr>
      <w:r>
        <w:rPr>
          <w:lang w:val="en-US" w:eastAsia="en-US"/>
        </w:rPr>
        <w:t>"terminal equipment" as equipment intended for direct connection to the network termination of a telecommunications network or intended to interwork with a telecommunications network and to be connected for such interworking directly or indirectly to the network termination of a telecommunications network.</w:t>
      </w:r>
    </w:p>
    <w:p>
      <w:pPr>
        <w:pStyle w:val="BodyText"/>
        <w:numPr>
          <w:ilvl w:val="0"/>
          <w:numId w:val="12"/>
        </w:numPr>
        <w:ind w:hanging="0" w:start="0"/>
        <w:rPr/>
      </w:pPr>
      <w:r>
        <w:rPr/>
        <w:t>Routing, switching and/or interconnection facilities of a network therefore do, hence, not constitute terminal equipment.  The establishment of such telecommunications systems is not subject to specific telecoms regulation.  However, such equipment would be subject to established technical specifications (for example, international technical norms and standards etc.).</w:t>
      </w:r>
    </w:p>
    <w:p>
      <w:pPr>
        <w:pStyle w:val="BodyText"/>
        <w:numPr>
          <w:ilvl w:val="0"/>
          <w:numId w:val="12"/>
        </w:numPr>
        <w:ind w:hanging="0" w:start="0"/>
        <w:rPr/>
      </w:pPr>
      <w:r>
        <w:rPr/>
        <w:t xml:space="preserve">According to Section 23 of the Telecommunications Act, general terms and conditions for telecommunications services subject to licence and for universal services have to meet certain criteria issued by the European Union in accordance with Open Network Provision (ONP).  Even though the provision of bandwidth does not constitute a service to be licensed, certain leased lines are defined to be universal services (some analogue lines as well as 2 Mbit/s digital line - see below paragraph (e)). General terms and conditions for those services have to be submitted to the Regulatory Authority in written form prior to their entry into force.  The Regulatory Authority is entitled to object to them within a period of four weeks.  Where it exercises the right of objection, the general terms and conditions are invalid. </w:t>
      </w:r>
    </w:p>
    <w:p>
      <w:pPr>
        <w:pStyle w:val="Normal"/>
        <w:rPr/>
      </w:pPr>
      <w:r>
        <w:rPr/>
        <w:t>3.</w:t>
        <w:tab/>
        <w:t>Other licences, permits, consents or approvals</w:t>
      </w:r>
    </w:p>
    <w:p>
      <w:pPr>
        <w:pStyle w:val="BodyText"/>
        <w:numPr>
          <w:ilvl w:val="0"/>
          <w:numId w:val="12"/>
        </w:numPr>
        <w:ind w:hanging="0" w:start="0"/>
        <w:rPr/>
      </w:pPr>
      <w:r>
        <w:rPr/>
        <w:t xml:space="preserve">Construction of a network, i.e. the laying of cables (including ducts, manholes etc) requires the usage of either public roads or private property. With regard to construction in public roads (which, by definition, also include public waterways), the right of way is already granted with the class 3 licence. However, the carrying out of the construction work also requires consent of the competent road administration. Such consent, however, is more a formal requirement since the right of way has already been granted with the licence. Usage of private property is usually subject to individual agreement for rights of way. </w:t>
      </w:r>
    </w:p>
    <w:p>
      <w:pPr>
        <w:pStyle w:val="BodyText"/>
        <w:numPr>
          <w:ilvl w:val="0"/>
          <w:numId w:val="12"/>
        </w:numPr>
        <w:ind w:hanging="0" w:start="0"/>
        <w:rPr/>
      </w:pPr>
      <w:r>
        <w:rPr/>
        <w:t>Relating to the establishment of points of presence, please note that it may be necessary for ECI to obtain a construction permit under German planning and zoning and/or construction law. Since such requirement depends on the location of the site and the extent of the existing permit (if any) as well as on the applicable laws of the federal states, no details can be given in this regard.</w:t>
      </w:r>
    </w:p>
    <w:p>
      <w:pPr>
        <w:pStyle w:val="BodyText"/>
        <w:numPr>
          <w:ilvl w:val="0"/>
          <w:numId w:val="12"/>
        </w:numPr>
        <w:ind w:hanging="0" w:start="0"/>
        <w:rPr/>
      </w:pPr>
      <w:r>
        <w:rPr/>
        <w:t>With regard to e-commerce-related services, payment clearing services may be subject to a licence and regulations under German banking law.</w:t>
      </w:r>
    </w:p>
    <w:p>
      <w:pPr>
        <w:pStyle w:val="BodyText"/>
        <w:numPr>
          <w:ilvl w:val="0"/>
          <w:numId w:val="12"/>
        </w:numPr>
        <w:ind w:hanging="0" w:start="0"/>
        <w:rPr/>
      </w:pPr>
      <w:r>
        <w:rPr/>
        <w:t>The envisaged commercial activities are not subject to any permit requirement under German trade and industry law, nor are any other licences, permits, consents or other governmental approval required as long as ECI does not act through an entity or branch organised in Germany or personnel located in Germany.</w:t>
      </w:r>
    </w:p>
    <w:p>
      <w:pPr>
        <w:pStyle w:val="ListAlpha1"/>
        <w:numPr>
          <w:ilvl w:val="0"/>
          <w:numId w:val="16"/>
        </w:numPr>
        <w:ind w:hanging="0" w:start="0"/>
        <w:rPr/>
      </w:pPr>
      <w:r>
        <w:rPr>
          <w:lang w:val="en-US"/>
        </w:rPr>
        <w:t>Does the government (national, regional or municipal) describe telecommunications as a basic utility?  Are there distinctions between types or classes of carrier?  How are they regulated differently?</w:t>
      </w:r>
    </w:p>
    <w:p>
      <w:pPr>
        <w:pStyle w:val="BodyText"/>
        <w:numPr>
          <w:ilvl w:val="0"/>
          <w:numId w:val="12"/>
        </w:numPr>
        <w:ind w:hanging="0" w:start="0"/>
        <w:rPr/>
      </w:pPr>
      <w:r>
        <w:rPr/>
        <w:t xml:space="preserve">The telecommunications regulatory regime in Germany does not describe telecommunications as a basic utility. However, according to article 87f of the German constitution the federal state is responsible to assure nation-wide coverage with appropriate and sufficient telecommunications services which are to be provided by private entities. Based on this obligation and European Directives on “Universal Service”, Section 17 of the Telecommunications Act defines Universal Service as </w:t>
      </w:r>
      <w:r>
        <w:rPr>
          <w:lang w:val="en-US" w:eastAsia="en-US"/>
        </w:rPr>
        <w:t>a minimum set of telecommunications services for the public in respect of which a particular quality has been defined and to which every user shall have access, irrespective of place of residence or place of work, at an affordable price. T</w:t>
      </w:r>
      <w:r>
        <w:rPr/>
        <w:t xml:space="preserve">he following services have, by way of an ordinance, been determined as Universal Service in Germany: </w:t>
      </w:r>
    </w:p>
    <w:p>
      <w:pPr>
        <w:pStyle w:val="BodyText"/>
        <w:numPr>
          <w:ilvl w:val="0"/>
          <w:numId w:val="10"/>
        </w:numPr>
        <w:tabs>
          <w:tab w:val="clear" w:pos="720"/>
          <w:tab w:val="left" w:pos="1080" w:leader="none"/>
        </w:tabs>
        <w:ind w:hanging="360" w:start="1080" w:end="0"/>
        <w:rPr/>
      </w:pPr>
      <w:r>
        <w:rPr/>
        <w:t>Voice Telephony and some ancillary services</w:t>
      </w:r>
    </w:p>
    <w:p>
      <w:pPr>
        <w:pStyle w:val="BodyText"/>
        <w:numPr>
          <w:ilvl w:val="0"/>
          <w:numId w:val="10"/>
        </w:numPr>
        <w:tabs>
          <w:tab w:val="clear" w:pos="720"/>
          <w:tab w:val="left" w:pos="1080" w:leader="none"/>
        </w:tabs>
        <w:ind w:hanging="360" w:start="1080" w:end="0"/>
        <w:rPr>
          <w:lang w:val="en-US" w:eastAsia="en-US"/>
        </w:rPr>
      </w:pPr>
      <w:r>
        <w:rPr>
          <w:lang w:val="en-US" w:eastAsia="en-US"/>
        </w:rPr>
        <w:t>Provision of transmission lines in accordance with Annex II of Council Directive 92/44/EEC of 5 June 1992 on the application of open network provision to leased lines (Official Journal of the European Communities No L 165 1992 p 27).</w:t>
      </w:r>
    </w:p>
    <w:p>
      <w:pPr>
        <w:pStyle w:val="BodyText"/>
        <w:numPr>
          <w:ilvl w:val="0"/>
          <w:numId w:val="12"/>
        </w:numPr>
        <w:ind w:hanging="0" w:start="0"/>
        <w:rPr/>
      </w:pPr>
      <w:r>
        <w:rPr/>
        <w:t>The latter requirement relates, in particular to the following leased lines: 64 kbit/s digital, 2 Mbit/s digital unstructured and 2 Mbit/s digital structured.</w:t>
      </w:r>
    </w:p>
    <w:p>
      <w:pPr>
        <w:pStyle w:val="BodyText"/>
        <w:numPr>
          <w:ilvl w:val="0"/>
          <w:numId w:val="12"/>
        </w:numPr>
        <w:ind w:hanging="0" w:start="0"/>
        <w:rPr/>
      </w:pPr>
      <w:r>
        <w:rPr/>
        <w:t>Consequence of this determination is that the defined services must be available on the German market. If they are not, carriers may be asked to contribute to a fund in order to finance provision of such service. So far, no procedure to either assure provision of universal services or to set up a Universal Service fund has been necessary.</w:t>
      </w:r>
    </w:p>
    <w:p>
      <w:pPr>
        <w:pStyle w:val="ListAlpha1"/>
        <w:numPr>
          <w:ilvl w:val="0"/>
          <w:numId w:val="16"/>
        </w:numPr>
        <w:ind w:hanging="0" w:start="0"/>
        <w:rPr/>
      </w:pPr>
      <w:r>
        <w:rPr>
          <w:lang w:val="en-US"/>
        </w:rPr>
        <w:t xml:space="preserve">Does the government distinguish between physical facilities and distribution of content over a network?  Is content itself regulated? </w:t>
      </w:r>
    </w:p>
    <w:p>
      <w:pPr>
        <w:pStyle w:val="BodyText"/>
        <w:numPr>
          <w:ilvl w:val="0"/>
          <w:numId w:val="12"/>
        </w:numPr>
        <w:ind w:hanging="0" w:start="0"/>
        <w:rPr/>
      </w:pPr>
      <w:r>
        <w:rPr/>
        <w:t>The German telecommunications law regime distinguishes indeed between physical facilities on the one hand and content distribution on the other hand. As described above the application of German telecommunications law is not linked to the content provided (or transmitted) but to the technical process of sending, transmitting or receiving such content. This means that the telecommunications law regime only governs the processes relating to telecommunications, i.e. network operation and service provision but not the content itself. Further, network operation on the one hand and service provision on the other hand are also distinguished by way of transmission line or network operation forming the basis for licence requirements and network related compliance provisions and service provision being regulated in addition to the operational activity.</w:t>
      </w:r>
    </w:p>
    <w:p>
      <w:pPr>
        <w:pStyle w:val="BodyText"/>
        <w:numPr>
          <w:ilvl w:val="0"/>
          <w:numId w:val="12"/>
        </w:numPr>
        <w:ind w:hanging="0" w:start="0"/>
        <w:rPr/>
      </w:pPr>
      <w:r>
        <w:rPr/>
        <w:t>Content in turn is itself regulated through the various rules described in paragraph (b) above and Section 3 below.</w:t>
      </w:r>
    </w:p>
    <w:p>
      <w:pPr>
        <w:pStyle w:val="ListAlpha1"/>
        <w:numPr>
          <w:ilvl w:val="0"/>
          <w:numId w:val="16"/>
        </w:numPr>
        <w:ind w:hanging="0" w:start="0"/>
        <w:rPr>
          <w:highlight w:val="yellow"/>
        </w:rPr>
      </w:pPr>
      <w:r>
        <w:rPr>
          <w:highlight w:val="yellow"/>
        </w:rPr>
        <w:t>[Brinkhaus/Gödeke]</w:t>
      </w:r>
    </w:p>
    <w:p>
      <w:pPr>
        <w:pStyle w:val="ListAlpha1"/>
        <w:numPr>
          <w:ilvl w:val="0"/>
          <w:numId w:val="16"/>
        </w:numPr>
        <w:ind w:hanging="0" w:start="0"/>
        <w:rPr/>
      </w:pPr>
      <w:r>
        <w:rPr>
          <w:lang w:val="en-US"/>
        </w:rPr>
        <w:t>Does the national government belong to any trade or economic organizations that set telecommunications policies?  If so, is the United States also a member?</w:t>
      </w:r>
    </w:p>
    <w:p>
      <w:pPr>
        <w:pStyle w:val="BodyText"/>
        <w:numPr>
          <w:ilvl w:val="0"/>
          <w:numId w:val="12"/>
        </w:numPr>
        <w:ind w:hanging="0" w:start="0"/>
        <w:rPr/>
      </w:pPr>
      <w:r>
        <w:rPr/>
        <w:t xml:space="preserve">According to our knowledge, Germany belongs to the following organisations to which the United States are also a member: </w:t>
      </w:r>
    </w:p>
    <w:p>
      <w:pPr>
        <w:pStyle w:val="BodyText"/>
        <w:numPr>
          <w:ilvl w:val="0"/>
          <w:numId w:val="5"/>
        </w:numPr>
        <w:tabs>
          <w:tab w:val="clear" w:pos="720"/>
          <w:tab w:val="left" w:pos="1080" w:leader="none"/>
        </w:tabs>
        <w:ind w:hanging="360" w:start="1080" w:end="0"/>
        <w:rPr/>
      </w:pPr>
      <w:r>
        <w:rPr/>
        <w:t>International Telecommunications Union (ITU)</w:t>
      </w:r>
    </w:p>
    <w:p>
      <w:pPr>
        <w:pStyle w:val="BodyText"/>
        <w:numPr>
          <w:ilvl w:val="0"/>
          <w:numId w:val="5"/>
        </w:numPr>
        <w:tabs>
          <w:tab w:val="clear" w:pos="720"/>
          <w:tab w:val="left" w:pos="1080" w:leader="none"/>
        </w:tabs>
        <w:ind w:hanging="360" w:start="1080" w:end="0"/>
        <w:rPr/>
      </w:pPr>
      <w:r>
        <w:rPr/>
        <w:t>World Trade Organisation (WTO)</w:t>
      </w:r>
    </w:p>
    <w:p>
      <w:pPr>
        <w:pStyle w:val="BodyText"/>
        <w:numPr>
          <w:ilvl w:val="0"/>
          <w:numId w:val="5"/>
        </w:numPr>
        <w:tabs>
          <w:tab w:val="clear" w:pos="720"/>
          <w:tab w:val="left" w:pos="1080" w:leader="none"/>
        </w:tabs>
        <w:ind w:hanging="360" w:start="1080" w:end="0"/>
        <w:rPr/>
      </w:pPr>
      <w:r>
        <w:rPr/>
        <w:t>Organisation on Economic Development and Co-Operation (OECD)</w:t>
      </w:r>
    </w:p>
    <w:p>
      <w:pPr>
        <w:pStyle w:val="BodyText"/>
        <w:numPr>
          <w:ilvl w:val="0"/>
          <w:numId w:val="12"/>
        </w:numPr>
        <w:ind w:hanging="0" w:start="0"/>
        <w:rPr/>
      </w:pPr>
      <w:r>
        <w:rPr/>
        <w:t>Germany is also member of the European Union who is setting telecommunications policies to a large extent.</w:t>
      </w:r>
    </w:p>
    <w:p>
      <w:pPr>
        <w:pStyle w:val="ListAlpha1"/>
        <w:numPr>
          <w:ilvl w:val="0"/>
          <w:numId w:val="16"/>
        </w:numPr>
        <w:ind w:hanging="0" w:start="0"/>
        <w:rPr/>
      </w:pPr>
      <w:r>
        <w:rPr/>
        <w:t>What are the government’s policies toward foreign ownership of telecommunications facilities?</w:t>
      </w:r>
    </w:p>
    <w:p>
      <w:pPr>
        <w:pStyle w:val="BodyText"/>
        <w:numPr>
          <w:ilvl w:val="0"/>
          <w:numId w:val="12"/>
        </w:numPr>
        <w:ind w:hanging="0" w:start="0"/>
        <w:rPr/>
      </w:pPr>
      <w:r>
        <w:rPr/>
        <w:t>The German governments policy is open to foreign ownership. It is a requirement within the EU under the EC-Treaty. Currently no legal restrictions exist.</w:t>
      </w:r>
    </w:p>
    <w:p>
      <w:pPr>
        <w:pStyle w:val="ListAlpha1"/>
        <w:numPr>
          <w:ilvl w:val="0"/>
          <w:numId w:val="16"/>
        </w:numPr>
        <w:ind w:hanging="0" w:start="0"/>
        <w:rPr/>
      </w:pPr>
      <w:r>
        <w:rPr/>
        <w:t>Describe the telecommunications regulating entity of the country. Is it an elected, appointed or bureaucratic body? Is it independent or does it follow ruling party policy? What is the relationship of the regulators with domestic and foreign private sector telecommunications providers? How would ECI approach the regulators?</w:t>
      </w:r>
    </w:p>
    <w:p>
      <w:pPr>
        <w:pStyle w:val="BodyText"/>
        <w:numPr>
          <w:ilvl w:val="0"/>
          <w:numId w:val="12"/>
        </w:numPr>
        <w:ind w:hanging="0" w:start="0"/>
        <w:rPr/>
      </w:pPr>
      <w:r>
        <w:rPr/>
        <w:t>The German telecommunications regulating entity is the Regulatory Authority for Telecommunications and Post (</w:t>
      </w:r>
      <w:r>
        <w:rPr>
          <w:i/>
        </w:rPr>
        <w:t>Regulierungsbehörde für Telekommunikation und Post - RegTP</w:t>
      </w:r>
      <w:r>
        <w:rPr/>
        <w:t>). The Regulatory Authority was created on 1 January 1998 and has taken over the functions of the former Ministry of Post and Telecommunications. The Regulatory Authority is essentially responsible for:</w:t>
      </w:r>
    </w:p>
    <w:p>
      <w:pPr>
        <w:pStyle w:val="Header"/>
        <w:numPr>
          <w:ilvl w:val="1"/>
          <w:numId w:val="23"/>
        </w:numPr>
        <w:tabs>
          <w:tab w:val="left" w:pos="720" w:leader="none"/>
        </w:tabs>
        <w:spacing w:lineRule="auto" w:line="264"/>
        <w:rPr/>
      </w:pPr>
      <w:r>
        <w:rPr/>
        <w:t>granting licenses;</w:t>
      </w:r>
    </w:p>
    <w:p>
      <w:pPr>
        <w:pStyle w:val="Header"/>
        <w:numPr>
          <w:ilvl w:val="1"/>
          <w:numId w:val="23"/>
        </w:numPr>
        <w:spacing w:lineRule="auto" w:line="264"/>
        <w:rPr/>
      </w:pPr>
      <w:r>
        <w:rPr/>
        <w:t>deciding disputes over special network access and interconnection;</w:t>
      </w:r>
    </w:p>
    <w:p>
      <w:pPr>
        <w:pStyle w:val="Header"/>
        <w:numPr>
          <w:ilvl w:val="1"/>
          <w:numId w:val="23"/>
        </w:numPr>
        <w:spacing w:lineRule="auto" w:line="264"/>
        <w:rPr/>
      </w:pPr>
      <w:r>
        <w:rPr/>
        <w:t>approval of telecommunication rates;</w:t>
      </w:r>
    </w:p>
    <w:p>
      <w:pPr>
        <w:pStyle w:val="Header"/>
        <w:numPr>
          <w:ilvl w:val="1"/>
          <w:numId w:val="23"/>
        </w:numPr>
        <w:spacing w:lineRule="auto" w:line="264"/>
        <w:rPr/>
      </w:pPr>
      <w:r>
        <w:rPr/>
        <w:t>numbering;</w:t>
      </w:r>
    </w:p>
    <w:p>
      <w:pPr>
        <w:pStyle w:val="Header"/>
        <w:numPr>
          <w:ilvl w:val="1"/>
          <w:numId w:val="23"/>
        </w:numPr>
        <w:spacing w:lineRule="auto" w:line="264"/>
        <w:rPr/>
      </w:pPr>
      <w:r>
        <w:rPr/>
        <w:t>obligations of enterprises to provide universal service;</w:t>
      </w:r>
    </w:p>
    <w:p>
      <w:pPr>
        <w:pStyle w:val="Header"/>
        <w:numPr>
          <w:ilvl w:val="1"/>
          <w:numId w:val="23"/>
        </w:numPr>
        <w:spacing w:lineRule="auto" w:line="264"/>
        <w:rPr/>
      </w:pPr>
      <w:r>
        <w:rPr/>
        <w:t>promotion and safeguarding of competitive rules;</w:t>
      </w:r>
    </w:p>
    <w:p>
      <w:pPr>
        <w:pStyle w:val="Header"/>
        <w:numPr>
          <w:ilvl w:val="1"/>
          <w:numId w:val="23"/>
        </w:numPr>
        <w:spacing w:lineRule="auto" w:line="264"/>
        <w:rPr/>
      </w:pPr>
      <w:r>
        <w:rPr/>
        <w:t>prohibition of providers without a valid license from performing such activities;</w:t>
      </w:r>
    </w:p>
    <w:p>
      <w:pPr>
        <w:pStyle w:val="Header"/>
        <w:numPr>
          <w:ilvl w:val="1"/>
          <w:numId w:val="23"/>
        </w:numPr>
        <w:spacing w:lineRule="auto" w:line="264"/>
        <w:rPr/>
      </w:pPr>
      <w:r>
        <w:rPr/>
        <w:t>overseeing compliance with the conditions imposed on licensees;</w:t>
      </w:r>
    </w:p>
    <w:p>
      <w:pPr>
        <w:pStyle w:val="Header"/>
        <w:numPr>
          <w:ilvl w:val="1"/>
          <w:numId w:val="23"/>
        </w:numPr>
        <w:spacing w:lineRule="auto" w:line="264"/>
        <w:rPr/>
      </w:pPr>
      <w:r>
        <w:rPr/>
        <w:t>inspection, audit and request of information on the economic circumstances of companies engaged in telecommunications.</w:t>
      </w:r>
    </w:p>
    <w:p>
      <w:pPr>
        <w:pStyle w:val="BodyText"/>
        <w:numPr>
          <w:ilvl w:val="0"/>
          <w:numId w:val="12"/>
        </w:numPr>
        <w:ind w:hanging="0" w:start="0"/>
        <w:rPr/>
      </w:pPr>
      <w:r>
        <w:rPr/>
        <w:t xml:space="preserve">The Regulatory Authority is a so-called federal superior authority </w:t>
      </w:r>
      <w:r>
        <w:rPr>
          <w:i/>
        </w:rPr>
        <w:t>(Bundesoberbehörde)</w:t>
      </w:r>
      <w:r>
        <w:rPr/>
        <w:t xml:space="preserve"> in the sphere of the Federal Ministry of Economics (Sec. 66 of the Telecommunications Act). It is headed by a president and two vice-presidents appointed by the Federal Government upon proposal of an Advisory Council consisting of nine members of the Federal Parliament and nine members of the German Federal Council (representatives of the Federal States). As such it is a bureaucratic body and is generally subject to the supervision of the Federal Ministry of Economics. However, in the important and seemingly controversial issues, it decides through decision chambers. Such decisions may not be influenced by a ruling party policy. Hence, the Regulatory Authority is similarly independent in those decisions as the Federal Cartel Office. It is also independent from the incumbent operator and has demonstrated that it decides against this operator in numerous cases. </w:t>
      </w:r>
    </w:p>
    <w:p>
      <w:pPr>
        <w:pStyle w:val="BodyText"/>
        <w:numPr>
          <w:ilvl w:val="0"/>
          <w:numId w:val="12"/>
        </w:numPr>
        <w:ind w:hanging="0" w:start="0"/>
        <w:rPr/>
      </w:pPr>
      <w:r>
        <w:rPr/>
        <w:t xml:space="preserve">The Regulatory Authority will handle matters of domestic and foreign private sector telecommunication providers without any difference in treatment. No protectionist policy exists. </w:t>
      </w:r>
    </w:p>
    <w:p>
      <w:pPr>
        <w:pStyle w:val="BodyText"/>
        <w:numPr>
          <w:ilvl w:val="0"/>
          <w:numId w:val="12"/>
        </w:numPr>
        <w:ind w:hanging="0" w:start="0"/>
        <w:rPr/>
      </w:pPr>
      <w:r>
        <w:rPr/>
        <w:t xml:space="preserve">The Regulatory Authority may be approached via mail, telephone, fax or e-mail. More detailed information may be obtained on the Regulatory Authority’s homepage at </w:t>
      </w:r>
      <w:hyperlink r:id="rId7">
        <w:r>
          <w:rPr>
            <w:rStyle w:val="Hyperlink"/>
          </w:rPr>
          <w:t>http://www.regtp.de/English.htm</w:t>
        </w:r>
      </w:hyperlink>
      <w:r>
        <w:rPr/>
        <w:t xml:space="preserve">. </w:t>
      </w:r>
    </w:p>
    <w:p>
      <w:pPr>
        <w:pStyle w:val="BodyText"/>
        <w:numPr>
          <w:ilvl w:val="0"/>
          <w:numId w:val="12"/>
        </w:numPr>
        <w:ind w:hanging="0" w:start="0"/>
        <w:rPr/>
      </w:pPr>
      <w:r>
        <w:rPr/>
        <w:t>The best way of approaching the Regulatory Authority depends on the matter to be dealt with. For general questions, a phone call will suffice. In matters requiring its detailed attention, this should, in general, be prepared with a written submission without or with an announcement by phone, followed by a meeting in person or discussion by phone or a written answer. We will be able to assist you with the appropriate way to approach the Regulatory Authority and to get contact to the right persons within the Authority.</w:t>
      </w:r>
    </w:p>
    <w:p>
      <w:pPr>
        <w:pStyle w:val="ListAlpha1"/>
        <w:numPr>
          <w:ilvl w:val="0"/>
          <w:numId w:val="16"/>
        </w:numPr>
        <w:ind w:hanging="0" w:start="0"/>
        <w:rPr/>
      </w:pPr>
      <w:r>
        <w:rPr>
          <w:lang w:val="en-US"/>
        </w:rPr>
        <w:t>Is the European Union considered a controlling authority?</w:t>
      </w:r>
    </w:p>
    <w:p>
      <w:pPr>
        <w:pStyle w:val="BodyText"/>
        <w:numPr>
          <w:ilvl w:val="0"/>
          <w:numId w:val="12"/>
        </w:numPr>
        <w:ind w:hanging="0" w:start="0"/>
        <w:rPr/>
      </w:pPr>
      <w:r>
        <w:rPr/>
        <w:t>Yes, due to the large extent of telecommunications regulation on the European level there have been various proceedings before the European Commission in competition matters relating to the extent of liberalisation of telecommunications on the German market.</w:t>
      </w:r>
      <w:r>
        <w:br w:type="page"/>
      </w:r>
    </w:p>
    <w:p>
      <w:pPr>
        <w:pStyle w:val="Heading2"/>
        <w:ind w:hanging="0" w:start="0"/>
        <w:rPr/>
      </w:pPr>
      <w:r>
        <w:rPr>
          <w:caps/>
        </w:rPr>
        <w:t>Section</w:t>
      </w:r>
      <w:r>
        <w:rPr/>
        <w:t xml:space="preserve"> 2 – Network Development Questions</w:t>
      </w:r>
    </w:p>
    <w:p>
      <w:pPr>
        <w:pStyle w:val="ListAlpha1"/>
        <w:numPr>
          <w:ilvl w:val="0"/>
          <w:numId w:val="29"/>
        </w:numPr>
        <w:ind w:hanging="0" w:start="0"/>
        <w:rPr/>
      </w:pPr>
      <w:r>
        <w:rPr/>
        <w:t>Are any licenses, permits, consents or other government approvals required (and, if so, by whom) in order to lease capacity and rights (including IRUs) on fiber optic cables, satellites and undersea cables from third parties or to trade or resell excess capacity?</w:t>
      </w:r>
    </w:p>
    <w:p>
      <w:pPr>
        <w:pStyle w:val="BodyText"/>
        <w:numPr>
          <w:ilvl w:val="0"/>
          <w:numId w:val="12"/>
        </w:numPr>
        <w:ind w:hanging="0" w:start="0"/>
        <w:rPr/>
      </w:pPr>
      <w:r>
        <w:rPr/>
        <w:t xml:space="preserve">While the Telecommunications Act provides in principle for two different licensing requirements under Sec. 6 para. 1 (one for the operation of transmission lines </w:t>
      </w:r>
      <w:r>
        <w:rPr>
          <w:lang w:eastAsia="en-US"/>
        </w:rPr>
        <w:t>going beyond the limits of a property</w:t>
      </w:r>
      <w:r>
        <w:rPr/>
        <w:t xml:space="preserve"> and used to provide telecommunications services for the public, one for the provision of voice telephony services), based on the facts and assumptions, only a license for the operation of transmission lines </w:t>
      </w:r>
      <w:r>
        <w:rPr>
          <w:sz w:val="24"/>
          <w:lang w:eastAsia="en-US"/>
        </w:rPr>
        <w:t>going beyond the limits of a property</w:t>
      </w:r>
      <w:r>
        <w:rPr/>
        <w:t xml:space="preserve"> and used to provide telecommunications services for the public (licence classes 2 (satellite) and 3 (other transmission lines); Sec. 6 para. 1 no. 1 and para. 2 Telecommunications Act) could be applicable here. </w:t>
      </w:r>
    </w:p>
    <w:p>
      <w:pPr>
        <w:pStyle w:val="BodyText"/>
        <w:numPr>
          <w:ilvl w:val="0"/>
          <w:numId w:val="12"/>
        </w:numPr>
        <w:ind w:hanging="0" w:start="0"/>
        <w:rPr/>
      </w:pPr>
      <w:r>
        <w:rPr/>
        <w:t xml:space="preserve">Telecommunications services for the public are telecommunications services as defined in Sec. 3 no. 18 of the Telecommunications Act offered to any natural or legal persons and not just to members of closed user groups (Sec. 3 no. 19). The envisaged development - in particular operation - of a network may, according to the kind of transmission facilities used, require a class 2 or 3 licence. As discussed in detail above (Section 1 (a) and (d)), the mere lease of capacity and rights (including IRUs) on fiber optic cables, satellites (orbit transponder capacity) and undersea cables from third parties does not fall under the definition of telecommunications services as defined in Sec. 3 no. 18 of the Telecommunications Act, because it does not include the offer of such capacity and rights to third parties. Hence, no license would be required. However, trading or reselling sale of such capacity and rights may be qualified as the offer of telecommunications services, e.g. of transmission lines, to third parties. </w:t>
      </w:r>
    </w:p>
    <w:p>
      <w:pPr>
        <w:pStyle w:val="BodyText"/>
        <w:numPr>
          <w:ilvl w:val="0"/>
          <w:numId w:val="12"/>
        </w:numPr>
        <w:ind w:hanging="0" w:start="0"/>
        <w:rPr/>
      </w:pPr>
      <w:r>
        <w:rPr/>
        <w:t xml:space="preserve">Such offer of transmission lines requires an infrastructure-related class 2 or 3 license according to Sec. 6 para. 1 no. 1 of the Telecommunications Act, if ECI were to operate those transmission lines, i.e. if ECI were to exercise </w:t>
      </w:r>
      <w:r>
        <w:rPr>
          <w:i/>
        </w:rPr>
        <w:t>de iure</w:t>
      </w:r>
      <w:r>
        <w:rPr/>
        <w:t xml:space="preserve"> and </w:t>
      </w:r>
      <w:r>
        <w:rPr>
          <w:i/>
        </w:rPr>
        <w:t>de facto</w:t>
      </w:r>
      <w:r>
        <w:rPr/>
        <w:t xml:space="preserve">, i.e. functions control over all the functions that are absolutely essential for the implementing information transmission on transmission lines (Sec. 3 no. 1 Telecommunications Act (cf. </w:t>
      </w:r>
      <w:r>
        <w:rPr>
          <w:i/>
        </w:rPr>
        <w:t>supra</w:t>
      </w:r>
      <w:r>
        <w:rPr/>
        <w:t xml:space="preserve"> Sec. 1 (a)). The exercise of </w:t>
      </w:r>
      <w:r>
        <w:rPr>
          <w:i/>
        </w:rPr>
        <w:t>de iure</w:t>
      </w:r>
      <w:r>
        <w:rPr/>
        <w:t xml:space="preserve"> and </w:t>
      </w:r>
      <w:r>
        <w:rPr>
          <w:i/>
        </w:rPr>
        <w:t>de facto</w:t>
      </w:r>
      <w:r>
        <w:rPr/>
        <w:t xml:space="preserve"> control means that the operator is (or rather must be) the one who controls the equipment enabling information transmission. This is usually determined by looking at who has unconditional access to the relevant facilities and equipment, who is in possession of the facilities and equipment, who is the employer of the personnel in charge of managing the facility etc. Decisive is an overall evaluation as to who is responsible for the transmission line in last instance. Former discussions we had with our contacts at the Regulatory Authority as well as the current licensing practice of the Regulatory Authority suggest that whenever transmission lines are leased or purchased from a licensed operator/carrier and used, re-leased or re-sold by a second operator to another entity such second operator does not need to obtain an infrastructure-related licence. The second operator may well be operating a network on the basis of the transmission lines obtained from the first operator and he may be providing services over such network including (re-)sale of capacity. However, the second operator would not have functions control over those functions that must necessarily be provided for information transmission since this functionality has already been provided by the first operator. Likewise, no licence is required on the one hand for lease and use of transponder capacity of a satellite.</w:t>
      </w:r>
    </w:p>
    <w:p>
      <w:pPr>
        <w:pStyle w:val="BodyText"/>
        <w:numPr>
          <w:ilvl w:val="0"/>
          <w:numId w:val="12"/>
        </w:numPr>
        <w:ind w:hanging="0" w:start="0"/>
        <w:rPr/>
      </w:pPr>
      <w:r>
        <w:rPr/>
        <w:t>Thus, leasing and re-selling or trading of already existing (excess) capacity created by a third party does not require a licence. With regard to other approvals, please refer to Section 1(d) which also mainly apply to licensed operators.</w:t>
      </w:r>
    </w:p>
    <w:p>
      <w:pPr>
        <w:pStyle w:val="BodyText"/>
        <w:numPr>
          <w:ilvl w:val="0"/>
          <w:numId w:val="12"/>
        </w:numPr>
        <w:ind w:hanging="0" w:start="0"/>
        <w:rPr/>
      </w:pPr>
      <w:r>
        <w:rPr/>
        <w:t xml:space="preserve">On the other hand, if ECI purchases or leases mere physical infrastructure from a non-licensed constructor (e.g. dark fibre lease), and ECI would use such infrastructure for operating a network and/or to sell intelligent capacity, ECI would need to obtain a license for such activity. In such event ECI would be deemed to have created the transmission capacity and to have functions control over it. The license requirement of course also applies if ECI were to operate fixed or satellite transmission lines used to provide its own telecommunications services for the public when the operation is not based on transmission lines purchased or leased from another (licensed) operator. </w:t>
      </w:r>
    </w:p>
    <w:p>
      <w:pPr>
        <w:pStyle w:val="BodyText"/>
        <w:numPr>
          <w:ilvl w:val="0"/>
          <w:numId w:val="12"/>
        </w:numPr>
        <w:ind w:hanging="0" w:start="0"/>
        <w:rPr/>
      </w:pPr>
      <w:r>
        <w:rPr/>
        <w:t xml:space="preserve">Further, a class 2 license and frequency allocation need to be obtained if ECI were to operate (as defined </w:t>
      </w:r>
      <w:r>
        <w:rPr>
          <w:i/>
        </w:rPr>
        <w:t>supra</w:t>
      </w:r>
      <w:r>
        <w:rPr/>
        <w:t>) the earth station (segment).</w:t>
      </w:r>
    </w:p>
    <w:p>
      <w:pPr>
        <w:pStyle w:val="BodyText"/>
        <w:numPr>
          <w:ilvl w:val="0"/>
          <w:numId w:val="12"/>
        </w:numPr>
        <w:ind w:hanging="0" w:start="0"/>
        <w:rPr/>
      </w:pPr>
      <w:r>
        <w:rPr/>
        <w:t>With regard to the licence procedures as well as other approvals, please refer to Section 1(d).</w:t>
      </w:r>
    </w:p>
    <w:p>
      <w:pPr>
        <w:pStyle w:val="ListAlpha1"/>
        <w:numPr>
          <w:ilvl w:val="0"/>
          <w:numId w:val="16"/>
        </w:numPr>
        <w:ind w:hanging="0" w:start="0"/>
        <w:rPr/>
      </w:pPr>
      <w:r>
        <w:rPr/>
        <w:t>Are any licenses, permits, consents, or other governmental approvals required (and, if so, by whom) in order for ECI to establish a physical location for its own equipment?</w:t>
      </w:r>
    </w:p>
    <w:p>
      <w:pPr>
        <w:pStyle w:val="BodyText"/>
        <w:numPr>
          <w:ilvl w:val="0"/>
          <w:numId w:val="12"/>
        </w:numPr>
        <w:ind w:hanging="0" w:start="0"/>
        <w:rPr/>
      </w:pPr>
      <w:r>
        <w:rPr/>
        <w:t xml:space="preserve">Even if POPs and the capacity to be established were to be considered telecommunications systems within the meaning of Sec. 3 no. 17 Telecommunications Act, the mere establishing of such systems, as a general rule, does not require any licence or other governmental approval under German telecommunications law. Their operation also does not require a licence as long as they do not constitute transmission lines </w:t>
      </w:r>
      <w:r>
        <w:rPr>
          <w:lang w:eastAsia="en-US"/>
        </w:rPr>
        <w:t>going beyond the limits of a property</w:t>
      </w:r>
      <w:r>
        <w:rPr/>
        <w:t xml:space="preserve"> and used to provide telecommunications services for the public. This is usually the case for POPs are usually located on one site (property).</w:t>
      </w:r>
    </w:p>
    <w:p>
      <w:pPr>
        <w:pStyle w:val="BodyText"/>
        <w:numPr>
          <w:ilvl w:val="0"/>
          <w:numId w:val="12"/>
        </w:numPr>
        <w:ind w:hanging="0" w:start="0"/>
        <w:rPr>
          <w:b/>
        </w:rPr>
      </w:pPr>
      <w:r>
        <w:rPr/>
        <w:t xml:space="preserve">Insofar as permits have to be obtained under German planning and zoning and/or construction law such permit requirements have been described above in Sec. 1 (d). </w:t>
      </w:r>
    </w:p>
    <w:p>
      <w:pPr>
        <w:pStyle w:val="ListAlpha1"/>
        <w:numPr>
          <w:ilvl w:val="0"/>
          <w:numId w:val="16"/>
        </w:numPr>
        <w:ind w:hanging="0" w:start="0"/>
        <w:rPr/>
      </w:pPr>
      <w:r>
        <w:rPr/>
        <w:t>Are any licenses, permits, consents, or other governmental approvals required (and, if so, by whom) in order for ECI to buy or sell dark fibre?</w:t>
      </w:r>
    </w:p>
    <w:p>
      <w:pPr>
        <w:pStyle w:val="BodyText"/>
        <w:numPr>
          <w:ilvl w:val="0"/>
          <w:numId w:val="12"/>
        </w:numPr>
        <w:ind w:hanging="0" w:start="0"/>
        <w:rPr/>
      </w:pPr>
      <w:r>
        <w:rPr/>
        <w:t>No licenses or other governmental approval will be required under German telecommunications law in order for ECI to buy or sell dark fibre as long as it remains without any intelligent applications which would transform it into a mediuam capable of information transmission (transmission lines within the meaning of Sec. 3 no. 22 Telecommunications Act). Infrastructure-related licenses are required only for the operation of transmission lines over which the seller will exercise functions control even following such sale (see above Sec. 2 (a)). According to Sec. 3 no. 22 of the Act, however, only telecommunications systems within the meaning of Sec. 3 no. 17 of the Act (see above Section 1 (a)) may, under certain additional circumstances, qualify as transmission lines. Dark fibre itself cannot be considered telecommunications systems as it is not capable of sending, transmitting, switching, receiving, steering or controlling signals.</w:t>
      </w:r>
    </w:p>
    <w:p>
      <w:pPr>
        <w:pStyle w:val="BodyText"/>
        <w:numPr>
          <w:ilvl w:val="0"/>
          <w:numId w:val="12"/>
        </w:numPr>
        <w:ind w:hanging="0" w:start="0"/>
        <w:rPr/>
      </w:pPr>
      <w:r>
        <w:rPr/>
        <w:t>It should be noted, however, that without licence, the seller or buyer of dark fibre has usually no statutory right of way for the cable facilities following from the Telecommunications Act.</w:t>
      </w:r>
    </w:p>
    <w:p>
      <w:pPr>
        <w:pStyle w:val="BodyText"/>
        <w:numPr>
          <w:ilvl w:val="0"/>
          <w:numId w:val="12"/>
        </w:numPr>
        <w:ind w:hanging="0" w:start="0"/>
        <w:rPr/>
      </w:pPr>
      <w:r>
        <w:rPr/>
        <w:t>With regard to other approvals, please refer to Section 1(d) which mainly apply to licensed operators.</w:t>
      </w:r>
    </w:p>
    <w:p>
      <w:pPr>
        <w:pStyle w:val="ListAlpha1"/>
        <w:numPr>
          <w:ilvl w:val="0"/>
          <w:numId w:val="16"/>
        </w:numPr>
        <w:ind w:hanging="0" w:start="0"/>
        <w:rPr/>
      </w:pPr>
      <w:r>
        <w:rPr/>
        <w:t>Would ECI be under any obligation to provide periodic reports or information to any regulatory or governmental or other body if it engaged in any of these activities?</w:t>
      </w:r>
    </w:p>
    <w:p>
      <w:pPr>
        <w:pStyle w:val="BodyText"/>
        <w:numPr>
          <w:ilvl w:val="0"/>
          <w:numId w:val="12"/>
        </w:numPr>
        <w:ind w:hanging="0" w:start="0"/>
        <w:rPr/>
      </w:pPr>
      <w:r>
        <w:rPr/>
        <w:t xml:space="preserve">Except for tax purposes as described below, ECI would not be under any obligation to provide </w:t>
      </w:r>
      <w:r>
        <w:rPr>
          <w:b/>
        </w:rPr>
        <w:t>periodic</w:t>
      </w:r>
      <w:r>
        <w:rPr/>
        <w:t xml:space="preserve"> reports or information to any regulatory or governmental or other body if it engaged in any of the envisaged activities.</w:t>
      </w:r>
    </w:p>
    <w:p>
      <w:pPr>
        <w:pStyle w:val="BodyText"/>
        <w:numPr>
          <w:ilvl w:val="0"/>
          <w:numId w:val="12"/>
        </w:numPr>
        <w:ind w:hanging="0" w:start="0"/>
        <w:rPr/>
      </w:pPr>
      <w:r>
        <w:rPr/>
        <w:t>However, a general notification requirement under Sec. 4 of the Telecommunications Act applies to any provider of telecommunications services. Thus, as provider of telecommunications services, ECI would have to notify the Regulatory Authority in writing within one month of the commencement, modification or termination of operations. This notification requirement applies at least to the trading or sale of capacity as well as to the provision of enhanced and advanced telecommunications and internet services. The actual scope of such notification can only be determined after discussion of all aspects of the actual activities to be performed.</w:t>
      </w:r>
    </w:p>
    <w:p>
      <w:pPr>
        <w:pStyle w:val="BodyText"/>
        <w:numPr>
          <w:ilvl w:val="0"/>
          <w:numId w:val="12"/>
        </w:numPr>
        <w:ind w:hanging="0" w:start="0"/>
        <w:rPr/>
      </w:pPr>
      <w:r>
        <w:rPr/>
        <w:t>Likewise, such providers have to provide the Regulatory Authority upon demand with reports under Sec. 5 of the Telecommunications Act to enable the Regulatory Authority to fulfill its reporting duties in relation to the European Commission. If the Regulatory Authority requests information from any company engaged in the telecommunications market to fulfill its duties under the Telecommunications Act, it may inspect and audit their business records (Sec. 72 of the Telecommunications Act).</w:t>
      </w:r>
    </w:p>
    <w:p>
      <w:pPr>
        <w:pStyle w:val="BodyText"/>
        <w:numPr>
          <w:ilvl w:val="0"/>
          <w:numId w:val="12"/>
        </w:numPr>
        <w:ind w:hanging="0" w:start="0"/>
        <w:rPr/>
      </w:pPr>
      <w:r>
        <w:rPr/>
        <w:t>Further notification requirements apply under general trade and industry laws if ECI acts through an entity or branch organized in Germany. For example, pursuant to Sec. 14 of the Trade and Industry Act (</w:t>
      </w:r>
      <w:r>
        <w:rPr>
          <w:i/>
        </w:rPr>
        <w:t>Gewerbeordnung - GewO</w:t>
      </w:r>
      <w:r>
        <w:rPr/>
        <w:t>) the establishment of a branch within Germany for the carrying out of physical trading activities has to be registered with the Local Trade Supervisory Authority (</w:t>
      </w:r>
      <w:r>
        <w:rPr>
          <w:i/>
        </w:rPr>
        <w:t>Gewerbeaufsichtsamt</w:t>
      </w:r>
      <w:r>
        <w:rPr/>
        <w:t>). This is intended to enable the general public authorities to exercise their supervisory powers, i.e. for example to prohibit individuals who have proved not be sufficiently reliable from engaging in such activities. Other requirements may apply depending on the legal form ECI would act in.</w:t>
      </w:r>
    </w:p>
    <w:p>
      <w:pPr>
        <w:pStyle w:val="Header"/>
        <w:spacing w:lineRule="auto" w:line="264"/>
        <w:ind w:hanging="840" w:start="840" w:end="0"/>
        <w:rPr>
          <w:b/>
          <w:i/>
          <w:i/>
        </w:rPr>
      </w:pPr>
      <w:r>
        <w:rPr/>
        <w:tab/>
      </w:r>
      <w:r>
        <w:rPr>
          <w:b/>
          <w:i/>
          <w:highlight w:val="yellow"/>
        </w:rPr>
        <w:t>[Steuerrechtliche Berichtspflichten sollten von Frau Gödeke behandelt werden.]</w:t>
      </w:r>
    </w:p>
    <w:p>
      <w:pPr>
        <w:pStyle w:val="ListAlpha1"/>
        <w:numPr>
          <w:ilvl w:val="0"/>
          <w:numId w:val="16"/>
        </w:numPr>
        <w:ind w:hanging="0" w:start="0"/>
        <w:rPr/>
      </w:pPr>
      <w:r>
        <w:rPr/>
        <w:t>Would ECI need to enter into any of these activities through an ECI-affiliated entity that is incorporated or otherwise organized in, or through a branch in, this jurisdiction? If so, please specify what type of entity ECI would be required to establish?</w:t>
      </w:r>
    </w:p>
    <w:p>
      <w:pPr>
        <w:pStyle w:val="BodyText"/>
        <w:numPr>
          <w:ilvl w:val="0"/>
          <w:numId w:val="12"/>
        </w:numPr>
        <w:ind w:hanging="0" w:start="0"/>
        <w:rPr/>
      </w:pPr>
      <w:r>
        <w:rPr/>
        <w:t xml:space="preserve">There is no legal requirement that the envisaged activities are to be conducted through an ECI-affiliated entity that is incorporated or otherwise organized in, or through a branch in German jurisdiction. </w:t>
      </w:r>
    </w:p>
    <w:p>
      <w:pPr>
        <w:pStyle w:val="ListAlpha1"/>
        <w:numPr>
          <w:ilvl w:val="0"/>
          <w:numId w:val="16"/>
        </w:numPr>
        <w:ind w:hanging="0" w:start="0"/>
        <w:rPr/>
      </w:pPr>
      <w:r>
        <w:rPr/>
        <w:t>Are there any restrictions that would apply to ECI’s marketing or solicitation efforts with respect to any of these activities?</w:t>
      </w:r>
    </w:p>
    <w:p>
      <w:pPr>
        <w:pStyle w:val="BodyText"/>
        <w:numPr>
          <w:ilvl w:val="0"/>
          <w:numId w:val="12"/>
        </w:numPr>
        <w:ind w:hanging="0" w:start="0"/>
        <w:rPr/>
      </w:pPr>
      <w:r>
        <w:rPr/>
        <w:t>In its marketing and/or legal solicitation efforts ECI will have to be aware of the regulations of the German Act against Unfair Competition (</w:t>
      </w:r>
      <w:r>
        <w:rPr>
          <w:i/>
        </w:rPr>
        <w:t>Gesetz gegen den unlauteren Wettbewerb - UWG</w:t>
      </w:r>
      <w:r>
        <w:rPr/>
        <w:t>) and the Act on Discounts (</w:t>
      </w:r>
      <w:r>
        <w:rPr>
          <w:i/>
        </w:rPr>
        <w:t>Rabattgesetz</w:t>
      </w:r>
      <w:r>
        <w:rPr/>
        <w:t xml:space="preserve">). </w:t>
      </w:r>
    </w:p>
    <w:p>
      <w:pPr>
        <w:pStyle w:val="BodyText"/>
        <w:numPr>
          <w:ilvl w:val="0"/>
          <w:numId w:val="12"/>
        </w:numPr>
        <w:ind w:hanging="0" w:start="0"/>
        <w:rPr/>
      </w:pPr>
      <w:r>
        <w:rPr/>
        <w:t xml:space="preserve">The Act against Unfair Competition stipulates rules for orderly performance of trade activities. It is governed by a few blanket clauses and therefore its enforcement depends on the view of the courts. Generally, all kinds of activities which the courts would not consider to be fair and customary are forbidden, e.g. procuring breach of contract and misleading advertising practices. </w:t>
      </w:r>
    </w:p>
    <w:p>
      <w:pPr>
        <w:pStyle w:val="BodyText"/>
        <w:numPr>
          <w:ilvl w:val="0"/>
          <w:numId w:val="12"/>
        </w:numPr>
        <w:ind w:hanging="0" w:start="0"/>
        <w:rPr/>
      </w:pPr>
      <w:r>
        <w:rPr/>
        <w:t xml:space="preserve">The Act on Discounts stipulates that discounts to end-customers are only permitted under certain circumstances listed in the Act. In contrast to Anglo-American law in Germany the possibilities for companies to grant discounts are rather limited. Any discount schemes should be reviewed before introduction in order to avoid infringements of the Act. </w:t>
      </w:r>
    </w:p>
    <w:p>
      <w:pPr>
        <w:pStyle w:val="BodyText"/>
        <w:numPr>
          <w:ilvl w:val="0"/>
          <w:numId w:val="12"/>
        </w:numPr>
        <w:ind w:hanging="0" w:start="0"/>
        <w:rPr/>
      </w:pPr>
      <w:r>
        <w:rPr/>
        <w:t>Please confer also to Sec. 3 (f) below.</w:t>
      </w:r>
    </w:p>
    <w:p>
      <w:pPr>
        <w:pStyle w:val="ListAlpha1"/>
        <w:numPr>
          <w:ilvl w:val="0"/>
          <w:numId w:val="16"/>
        </w:numPr>
        <w:ind w:hanging="0" w:start="0"/>
        <w:rPr/>
      </w:pPr>
      <w:r>
        <w:rPr/>
        <w:t>Are there any other legal or regulatory issues relating to these activities or to the regulatory environment in general of which we should be made aware?</w:t>
      </w:r>
    </w:p>
    <w:p>
      <w:pPr>
        <w:pStyle w:val="BodyText"/>
        <w:numPr>
          <w:ilvl w:val="0"/>
          <w:numId w:val="12"/>
        </w:numPr>
        <w:ind w:hanging="0" w:start="0"/>
        <w:rPr/>
      </w:pPr>
      <w:r>
        <w:rPr/>
        <w:t>In connection with the establishing of a physical location for its own equipment, i.e. POPs or networks, ECI should be aware of Sec. 87 of the Telecommunications Act. Under this provision the operator of a telecommunications system that is used for the commercial provision of telecommunications services shall take appropriate technical precautions or other measures with regard to telecommunications and data processing systems operated for the said purpose in order to protect</w:t>
      </w:r>
    </w:p>
    <w:p>
      <w:pPr>
        <w:pStyle w:val="Header"/>
        <w:spacing w:lineRule="auto" w:line="264"/>
        <w:ind w:hanging="480" w:start="1320" w:end="0"/>
        <w:rPr/>
      </w:pPr>
      <w:r>
        <w:rPr>
          <w:rFonts w:eastAsia="Symbol" w:cs="Symbol" w:ascii="Symbol" w:hAnsi="Symbol"/>
        </w:rPr>
        <w:sym w:font="Symbol" w:char="f0b7"/>
      </w:r>
      <w:r>
        <w:rPr/>
        <w:tab/>
        <w:t>telecommunications secrecy and personal data;</w:t>
      </w:r>
    </w:p>
    <w:p>
      <w:pPr>
        <w:pStyle w:val="Header"/>
        <w:spacing w:lineRule="auto" w:line="264"/>
        <w:ind w:hanging="480" w:start="1320" w:end="0"/>
        <w:rPr/>
      </w:pPr>
      <w:r>
        <w:rPr>
          <w:rFonts w:eastAsia="Symbol" w:cs="Symbol" w:ascii="Symbol" w:hAnsi="Symbol"/>
        </w:rPr>
        <w:sym w:font="Symbol" w:char="f0b7"/>
      </w:r>
      <w:r>
        <w:rPr/>
        <w:tab/>
        <w:t>programme-controlled telecommunications and data processing systems against unauthorized access;</w:t>
      </w:r>
    </w:p>
    <w:p>
      <w:pPr>
        <w:pStyle w:val="Header"/>
        <w:spacing w:lineRule="auto" w:line="264"/>
        <w:ind w:hanging="480" w:start="1320" w:end="0"/>
        <w:rPr/>
      </w:pPr>
      <w:r>
        <w:rPr>
          <w:rFonts w:eastAsia="Symbol" w:cs="Symbol" w:ascii="Symbol" w:hAnsi="Symbol"/>
        </w:rPr>
        <w:sym w:font="Symbol" w:char="f0b7"/>
      </w:r>
      <w:r>
        <w:rPr/>
        <w:tab/>
        <w:t>systems against disruptions that result in significant harm to telecommunications networks, and</w:t>
      </w:r>
    </w:p>
    <w:p>
      <w:pPr>
        <w:pStyle w:val="Header"/>
        <w:spacing w:lineRule="auto" w:line="264"/>
        <w:ind w:hanging="480" w:start="1320" w:end="0"/>
        <w:rPr/>
      </w:pPr>
      <w:r>
        <w:rPr>
          <w:rFonts w:eastAsia="Symbol" w:cs="Symbol" w:ascii="Symbol" w:hAnsi="Symbol"/>
        </w:rPr>
        <w:sym w:font="Symbol" w:char="f0b7"/>
      </w:r>
      <w:r>
        <w:rPr/>
        <w:tab/>
        <w:t>telecommunications and data processing systems against external attack and the effects of natural disasters.</w:t>
      </w:r>
    </w:p>
    <w:p>
      <w:pPr>
        <w:pStyle w:val="BodyText"/>
        <w:numPr>
          <w:ilvl w:val="0"/>
          <w:numId w:val="12"/>
        </w:numPr>
        <w:ind w:hanging="0" w:start="0"/>
        <w:rPr/>
      </w:pPr>
      <w:r>
        <w:rPr/>
        <w:t>If ECI were to lay out and built its own physical network, it would have to observe certain limitations provided for in Sec. 50 et seq. Telecommunications Act (rights-of-way) and building and zoning laws among others.</w:t>
      </w:r>
    </w:p>
    <w:p>
      <w:pPr>
        <w:sectPr>
          <w:headerReference w:type="default" r:id="rId8"/>
          <w:headerReference w:type="first" r:id="rId9"/>
          <w:footerReference w:type="default" r:id="rId10"/>
          <w:footerReference w:type="first" r:id="rId11"/>
          <w:type w:val="nextPage"/>
          <w:pgSz w:w="11906" w:h="16838"/>
          <w:pgMar w:left="1701" w:right="1701" w:gutter="0" w:header="720" w:top="1440" w:footer="284" w:bottom="1134"/>
          <w:pgNumType w:start="1" w:fmt="decimal"/>
          <w:formProt w:val="false"/>
          <w:textDirection w:val="lrTb"/>
          <w:docGrid w:type="default" w:linePitch="299" w:charSpace="0"/>
        </w:sectPr>
        <w:pStyle w:val="BodyText"/>
        <w:numPr>
          <w:ilvl w:val="0"/>
          <w:numId w:val="12"/>
        </w:numPr>
        <w:ind w:hanging="0" w:start="0"/>
        <w:rPr/>
      </w:pPr>
      <w:r>
        <w:rPr/>
        <w:t>Further, anybody who offers telecommunications services to the public is subject to the Telecommunication Customer Protection Ordinance (</w:t>
      </w:r>
      <w:r>
        <w:rPr>
          <w:i/>
        </w:rPr>
        <w:t>Telekommunikations-Kundenschutzverordnung - TKV</w:t>
      </w:r>
      <w:r>
        <w:rPr/>
        <w:t>). Provisions relevant to ECI include Sec. 7 (liability), Sec. 8 (statute of limitations), Sec. 27 (publication of customer information) etc.</w:t>
      </w:r>
    </w:p>
    <w:p>
      <w:pPr>
        <w:pStyle w:val="Header"/>
        <w:keepNext w:val="true"/>
        <w:spacing w:lineRule="auto" w:line="264"/>
        <w:rPr>
          <w:b/>
          <w:u w:val="single"/>
        </w:rPr>
      </w:pPr>
      <w:r>
        <w:rPr>
          <w:b/>
          <w:u w:val="single"/>
        </w:rPr>
        <w:t>SECTION 3 - Content Distribution Questions</w:t>
      </w:r>
    </w:p>
    <w:p>
      <w:pPr>
        <w:pStyle w:val="Normal"/>
        <w:spacing w:lineRule="auto" w:line="264"/>
        <w:rPr/>
      </w:pPr>
      <w:r>
        <w:rPr/>
        <w:t>With regard to the distribution of content, at the start we want to outline the legal regime in Germany which governs the activities of internet content and service providers:</w:t>
      </w:r>
    </w:p>
    <w:p>
      <w:pPr>
        <w:pStyle w:val="Normal"/>
        <w:spacing w:lineRule="auto" w:line="264"/>
        <w:rPr/>
      </w:pPr>
      <w:r>
        <w:rPr/>
        <w:t>There exist two relevant acts, namely the Information and Communication Services Act (</w:t>
      </w:r>
      <w:r>
        <w:rPr>
          <w:i/>
        </w:rPr>
        <w:t xml:space="preserve">Informations- und </w:t>
      </w:r>
      <w:r>
        <w:rPr/>
        <w:t>Kommunikationsdienste</w:t>
      </w:r>
      <w:r>
        <w:rPr>
          <w:i/>
        </w:rPr>
        <w:t>-Gesetz - IuKDG</w:t>
      </w:r>
      <w:r>
        <w:rPr/>
        <w:t>) and the Media Services State Convention (</w:t>
      </w:r>
      <w:r>
        <w:rPr>
          <w:i/>
        </w:rPr>
        <w:t>Mediendienste-Staatsvertrag - MDStV</w:t>
      </w:r>
      <w:r>
        <w:rPr/>
        <w:t xml:space="preserve">), both entered into force on 1 August 1997. Whereas the first mentioned act covers teleservices - defined as “all electronic information and communication services which are designed for the individual use of combinable data such as characters, images or sounds and are based on transmission by means of telecommunication” - the latter deals with media services, meaning the offer and the use of information and communication services aimed at the general public. Teleservices are characterised by individual communication and encompass data exchange, data services like providing the dissemination of information on goods and services and the offer of goods and services in electronically accessible databases with interactive access and the possibility for direct order. Media services are aiming at communication to the public like distribution services and some call-up services as explained in more detail above under Sec. 1 (b) and (c). Both acts contain nearly identical provisions for example with respect to data protection, youth protection or responsibility. Part of the Information and Communication Services Act is the Teleservices Act </w:t>
      </w:r>
      <w:r>
        <w:rPr>
          <w:i/>
        </w:rPr>
        <w:t>(Teledienstegesetz - TDG)</w:t>
      </w:r>
      <w:r>
        <w:rPr/>
        <w:t xml:space="preserve"> dealing </w:t>
      </w:r>
      <w:r>
        <w:rPr>
          <w:i/>
        </w:rPr>
        <w:t>inter alia</w:t>
      </w:r>
      <w:r>
        <w:rPr/>
        <w:t xml:space="preserve"> with the freedom of access and responsibility of providers of teleservices, the Teleservices Data Protection Act </w:t>
      </w:r>
      <w:r>
        <w:rPr>
          <w:i/>
        </w:rPr>
        <w:t>(Teledienstedatenschutzgesetz - TDDSG)</w:t>
      </w:r>
      <w:r>
        <w:rPr/>
        <w:t xml:space="preserve"> and the Digital Signature Act (</w:t>
      </w:r>
      <w:r>
        <w:rPr>
          <w:i/>
        </w:rPr>
        <w:t>Signaturgesetz- SigG</w:t>
      </w:r>
      <w:r>
        <w:rPr/>
        <w:t>) stating the legal framework of electronic signatures.</w:t>
      </w:r>
    </w:p>
    <w:p>
      <w:pPr>
        <w:pStyle w:val="Normal"/>
        <w:spacing w:lineRule="auto" w:line="264"/>
        <w:rPr/>
      </w:pPr>
      <w:r>
        <w:rPr/>
        <w:t>As regards the future regulation of electronic communications in the European community as well as in Germany the “Proposal for an European Parliament and Counsel Directive on Certain Legal Aspects of Electronic Commerce in the Internal Market”, dated 18 November 1998 (COM(1998) 586 final) and amended on 1 September 1999 (COM(1999) 427 final, hereinafter the “Proposal”) has to be taken into account. According to Article 4 of the Proposal, member states shall lay down in their legislation that access to the activity of Information Society service provider may not be made subject to prior authorisation or any other requirement the effect of which is to make such access dependent on a decision, measure or particular act by an authority. The purpose of this Article is to give effect to the principle of freedom to provide services by facilitating access to the supply of services on the Internet. The Proposal also deals with the moment of conclusion of on-line contracts and with unsolicited commercial communication providing for making available “opt-out registers” to consumers. Since it is currently unclear as to whether, and if so, to what extent the Proposal will be passed and transferred into national law, it can, at this point of time, not exactly be foreseen in what direction the future legislation in Germany with respect to the regulation of new media services and teleservices will develop.</w:t>
      </w:r>
    </w:p>
    <w:p>
      <w:pPr>
        <w:pStyle w:val="Normal"/>
        <w:spacing w:lineRule="auto" w:line="264"/>
        <w:rPr/>
      </w:pPr>
      <w:r>
        <w:rPr/>
        <w:t>Given this introduction in terms of information and communication law, we may answer the questions as follows:</w:t>
      </w:r>
    </w:p>
    <w:p>
      <w:pPr>
        <w:pStyle w:val="Header"/>
        <w:keepNext w:val="true"/>
        <w:spacing w:lineRule="auto" w:line="264"/>
        <w:ind w:hanging="840" w:start="840" w:end="0"/>
        <w:rPr/>
      </w:pPr>
      <w:r>
        <w:rPr/>
        <w:t>(a)</w:t>
        <w:tab/>
      </w:r>
      <w:r>
        <w:rPr>
          <w:b/>
        </w:rPr>
        <w:t>Are any licenses, permits, consents, or other governmental approvals required (and, if so, by whom) in order for ECI to provide enhanced and advanced communication and internet services, such as streaming video content and other bandwidth intensive content and applications? If so (and in each case in this memorandum in which licenses are required), briefly describe the procedure and approximately how long it would take to obtain any such licenses, permits, consents or approvals.</w:t>
      </w:r>
    </w:p>
    <w:p>
      <w:pPr>
        <w:pStyle w:val="Header"/>
        <w:spacing w:lineRule="auto" w:line="264"/>
        <w:ind w:hanging="840" w:start="840" w:end="0"/>
        <w:rPr/>
      </w:pPr>
      <w:r>
        <w:rPr/>
        <w:t>1.</w:t>
        <w:tab/>
        <w:t>According to Sec. 4 of the Teleservices Act as well as Article 4 Media Services State Convention, within the scope of the law, teleservices and media services shall not be subject to licensing or registration. Therefore, under this regime no licences, permits, consents or other governmental approvals is required.</w:t>
      </w:r>
    </w:p>
    <w:p>
      <w:pPr>
        <w:pStyle w:val="Header"/>
        <w:spacing w:lineRule="auto" w:line="264"/>
        <w:ind w:hanging="840" w:start="840" w:end="0"/>
        <w:rPr/>
      </w:pPr>
      <w:r>
        <w:rPr/>
        <w:t>2.1</w:t>
        <w:tab/>
        <w:t>The provision of enhanced and advanced communication and internet services, such as streaming video content and other bandwidth intensive content and applications is subject to the requirement of a broadcast license only under the conditions described above under Sec. 1 (b); i.e. the content in question must be qualified as a presentation (</w:t>
      </w:r>
      <w:r>
        <w:rPr>
          <w:i/>
          <w:u w:val="single"/>
        </w:rPr>
        <w:t>Darbietung</w:t>
      </w:r>
      <w:r>
        <w:rPr/>
        <w:t xml:space="preserve">) in the sense of the State Broadcasting Convention and must therefore consist of editorially designed contents dedicated to the public. In case of doubt it will be recommendable to apply for a clearance certificate to be issued by the State Media Authorities. </w:t>
      </w:r>
    </w:p>
    <w:p>
      <w:pPr>
        <w:pStyle w:val="Header"/>
        <w:spacing w:lineRule="auto" w:line="264"/>
        <w:ind w:hanging="840" w:start="840" w:end="0"/>
        <w:rPr/>
      </w:pPr>
      <w:r>
        <w:rPr/>
        <w:t>2.2</w:t>
        <w:tab/>
        <w:t>According to the provisions of the State Broadcasting Convention suppliers (</w:t>
      </w:r>
      <w:r>
        <w:rPr>
          <w:i/>
          <w:u w:val="single"/>
        </w:rPr>
        <w:t>An</w:t>
        <w:softHyphen/>
        <w:t>bieter</w:t>
      </w:r>
      <w:r>
        <w:rPr/>
        <w:t>) of media services require a license under state law “if and to the extent that” these media services can be ascribed to broadcasting. As one of the few European countries with a federal structure in Germany the regulation of broadcasting is a matter for each federal state. What this means in practice is that regulation of commercial broadcasting is subject to 15 separate Federal State Media Laws.</w:t>
      </w:r>
    </w:p>
    <w:p>
      <w:pPr>
        <w:pStyle w:val="Header"/>
        <w:spacing w:lineRule="auto" w:line="264"/>
        <w:ind w:hanging="0" w:start="840" w:end="0"/>
        <w:rPr/>
      </w:pPr>
      <w:r>
        <w:rPr/>
        <w:t>In order to obtain a broadcast license in Germany the private organizer of commercial broadcasting in Germany must, in particular, provide the following information/documents:</w:t>
      </w:r>
    </w:p>
    <w:p>
      <w:pPr>
        <w:pStyle w:val="Header"/>
        <w:numPr>
          <w:ilvl w:val="0"/>
          <w:numId w:val="8"/>
        </w:numPr>
        <w:spacing w:lineRule="auto" w:line="264"/>
        <w:ind w:hanging="480" w:start="1320" w:end="0"/>
        <w:rPr/>
      </w:pPr>
      <w:r>
        <w:rPr/>
        <w:t xml:space="preserve">The legal residence/registered office of the applicant must be in a member state of the European community (in some states of Germany the applicant must be resident within the Federal Republic of Germany). </w:t>
      </w:r>
    </w:p>
    <w:p>
      <w:pPr>
        <w:pStyle w:val="Header"/>
        <w:numPr>
          <w:ilvl w:val="0"/>
          <w:numId w:val="8"/>
        </w:numPr>
        <w:spacing w:lineRule="auto" w:line="264"/>
        <w:ind w:hanging="480" w:start="1320" w:end="0"/>
        <w:rPr/>
      </w:pPr>
      <w:r>
        <w:rPr/>
        <w:t>The applicant must provide an attested copy of the excerpt from the Commercial Register.</w:t>
      </w:r>
    </w:p>
    <w:p>
      <w:pPr>
        <w:pStyle w:val="Header"/>
        <w:numPr>
          <w:ilvl w:val="0"/>
          <w:numId w:val="8"/>
        </w:numPr>
        <w:spacing w:lineRule="auto" w:line="264"/>
        <w:ind w:hanging="480" w:start="1320" w:end="0"/>
        <w:rPr/>
      </w:pPr>
      <w:r>
        <w:rPr/>
        <w:t>In some states a certificate of good conduct for the legal representatives of the applicant is required.</w:t>
      </w:r>
    </w:p>
    <w:p>
      <w:pPr>
        <w:pStyle w:val="Header"/>
        <w:numPr>
          <w:ilvl w:val="0"/>
          <w:numId w:val="8"/>
        </w:numPr>
        <w:spacing w:lineRule="auto" w:line="264"/>
        <w:ind w:hanging="480" w:start="1320" w:end="0"/>
        <w:rPr/>
      </w:pPr>
      <w:r>
        <w:rPr/>
        <w:t>The applicant must provide a certified copy of the Articles of Incorporation/Articles of Association/Partnership Agreement and the bylaws of its company.</w:t>
      </w:r>
    </w:p>
    <w:p>
      <w:pPr>
        <w:pStyle w:val="Header"/>
        <w:numPr>
          <w:ilvl w:val="0"/>
          <w:numId w:val="8"/>
        </w:numPr>
        <w:spacing w:lineRule="auto" w:line="264"/>
        <w:ind w:hanging="480" w:start="1320" w:end="0"/>
        <w:rPr/>
      </w:pPr>
      <w:r>
        <w:rPr/>
        <w:t>The applicant must prove that he is capable both financially and organizationally of implementing the broadcasting of its channel in accordance with its application. In order to do so, the applicant must provide a program plan with editorial classification of the components of the program and the division according to the duration of broadcasts. Furthermore, the applicant must provide a budget plan with a detailed medium-term overview of income and expenditures.</w:t>
      </w:r>
    </w:p>
    <w:p>
      <w:pPr>
        <w:pStyle w:val="Header"/>
        <w:numPr>
          <w:ilvl w:val="0"/>
          <w:numId w:val="8"/>
        </w:numPr>
        <w:spacing w:lineRule="auto" w:line="264"/>
        <w:ind w:hanging="480" w:start="1320" w:end="0"/>
        <w:rPr/>
      </w:pPr>
      <w:r>
        <w:rPr/>
        <w:t>The applicant must prove that it has the technical capacity to transmit its broadcast services throughout Germany.</w:t>
      </w:r>
    </w:p>
    <w:p>
      <w:pPr>
        <w:pStyle w:val="Header"/>
        <w:spacing w:lineRule="auto" w:line="264"/>
        <w:ind w:hanging="0" w:start="840" w:end="0"/>
        <w:rPr/>
      </w:pPr>
      <w:r>
        <w:rPr/>
        <w:t>The broadcast license will then be issued either for the national or the regional/local broadcasting of a channel. In most of the states the broadcast license will be granted for the full/partial use of satellite or cable channels or the use of terrestrial frequencies.</w:t>
      </w:r>
    </w:p>
    <w:p>
      <w:pPr>
        <w:pStyle w:val="Header"/>
        <w:spacing w:lineRule="auto" w:line="264"/>
        <w:ind w:hanging="0" w:start="840" w:end="0"/>
        <w:rPr/>
      </w:pPr>
      <w:r>
        <w:rPr/>
        <w:t xml:space="preserve">The average duration of broadcast license proceedings in Germany takes approximately 3 to 6 months. With regard to the duration of legal broadcast licenses, the practices in the various federal states vary considerably. In the majority of cases, the initial authorization is granted for the maximum duration possible (8 to 10 years on average). In the majority of federal states the license holders must apply for an extension to the broadcasting authorization which may be denied on the grounds of any violations of the conditions set out in the license although an extension may also be denied on other grounds such as the commercial viability of the program package in question. </w:t>
      </w:r>
    </w:p>
    <w:p>
      <w:pPr>
        <w:pStyle w:val="Header"/>
        <w:spacing w:lineRule="auto" w:line="264"/>
        <w:ind w:hanging="840" w:start="840" w:end="0"/>
        <w:rPr/>
      </w:pPr>
      <w:r>
        <w:rPr/>
        <w:t>2.3.</w:t>
        <w:tab/>
        <w:t xml:space="preserve">Furthermore, the onward transmission of broadcasting and media services in the broadband cable facilities of the different states is subject to access regulation by the State Media Authorities. In most of the states the cable operator and/or the broadcaster must notify the State Media Authority prior to commencing its cable distribution; in some states (e.g. Berlin-Brandenburg, Bremen) the State Media Authority must approve the onward transmission via cable. Since some states differentiate between broadcasting and media services as regards notification requirements prior to commencing cable distribution, the same does not apply in the case of cable assignment decisions which, in most of the states, fall under the competence of the State Media Authorities. </w:t>
      </w:r>
    </w:p>
    <w:p>
      <w:pPr>
        <w:pStyle w:val="Header"/>
        <w:spacing w:lineRule="auto" w:line="264"/>
        <w:ind w:hanging="0" w:start="840" w:end="0"/>
        <w:rPr/>
      </w:pPr>
      <w:r>
        <w:rPr/>
        <w:t>As regards the allocation of digital cable capacities the forthcoming 4</w:t>
      </w:r>
      <w:r>
        <w:rPr>
          <w:vertAlign w:val="superscript"/>
        </w:rPr>
        <w:t>th</w:t>
      </w:r>
      <w:r>
        <w:rPr/>
        <w:t xml:space="preserve"> amendment to the State Broadcasting Convention will provide for a liberalization, in particular provide for must- and non-must-carry rules. In view of the forthcoming changes in the law the DLM has already agreed to the cable assignment plan of Deutsche Telekom AG and the private cable operators. According to this cable assignment plan certain cable channels will be dedicated to media services such as HomeNet, AOL, T-Online, etc. for the distribution of its services.</w:t>
      </w:r>
    </w:p>
    <w:p>
      <w:pPr>
        <w:pStyle w:val="Header"/>
        <w:spacing w:lineRule="auto" w:line="264"/>
        <w:ind w:hanging="0" w:start="840" w:end="0"/>
        <w:rPr/>
      </w:pPr>
      <w:r>
        <w:rPr/>
        <w:t xml:space="preserve">In connection with this it should be noted that the DLM expects that within the next 12 months, further capacities of about 30 channels will be made available. Therefore, the DLM will decide upon the new cable assignment plan in spring 2000. </w:t>
      </w:r>
    </w:p>
    <w:p>
      <w:pPr>
        <w:pStyle w:val="Heading2"/>
        <w:numPr>
          <w:ilvl w:val="0"/>
          <w:numId w:val="0"/>
        </w:numPr>
        <w:spacing w:lineRule="auto" w:line="264"/>
        <w:ind w:hanging="840" w:start="840" w:end="0"/>
        <w:rPr/>
      </w:pPr>
      <w:r>
        <w:rPr>
          <w:b w:val="false"/>
        </w:rPr>
        <w:t>(b)</w:t>
        <w:tab/>
      </w:r>
      <w:r>
        <w:rPr/>
        <w:t>Are any licences, permits, consents or other governmental approvals required (and, if so, by whom) in order for ECI to import software, hardware and middleware applications?</w:t>
      </w:r>
    </w:p>
    <w:p>
      <w:pPr>
        <w:pStyle w:val="Header"/>
        <w:spacing w:lineRule="auto" w:line="264"/>
        <w:ind w:hanging="0" w:start="840" w:end="0"/>
        <w:rPr/>
      </w:pPr>
      <w:r>
        <w:rPr/>
        <w:t>We are not aware of any provision under German law stipulating the obligation to obtain any licences, permits, consents or other governmental approvals to import software, hardware and middleware applications from an internet law perspective.</w:t>
      </w:r>
    </w:p>
    <w:p>
      <w:pPr>
        <w:pStyle w:val="Header"/>
        <w:spacing w:lineRule="auto" w:line="264"/>
        <w:ind w:start="840" w:end="0"/>
        <w:rPr>
          <w:b/>
          <w:i/>
          <w:i/>
          <w:highlight w:val="yellow"/>
        </w:rPr>
      </w:pPr>
      <w:r>
        <w:rPr>
          <w:b/>
          <w:i/>
          <w:highlight w:val="yellow"/>
        </w:rPr>
        <w:t>[Ist hier Tax relevant!?]</w:t>
      </w:r>
    </w:p>
    <w:p>
      <w:pPr>
        <w:pStyle w:val="Header"/>
        <w:spacing w:lineRule="auto" w:line="264"/>
        <w:ind w:hanging="840" w:start="840" w:end="0"/>
        <w:rPr/>
      </w:pPr>
      <w:r>
        <w:rPr/>
        <w:t>(c)</w:t>
        <w:tab/>
      </w:r>
      <w:r>
        <w:rPr>
          <w:b/>
        </w:rPr>
        <w:t>Are any licenses, permits, consents or other governmental approvals required (and, if so, by whom) in order for ECI to provide e-commerce sales, services and support?</w:t>
      </w:r>
    </w:p>
    <w:p>
      <w:pPr>
        <w:pStyle w:val="Header"/>
        <w:spacing w:lineRule="auto" w:line="264"/>
        <w:ind w:hanging="0" w:start="840" w:end="0"/>
        <w:rPr>
          <w:b/>
        </w:rPr>
      </w:pPr>
      <w:r>
        <w:rPr/>
        <w:t>We are not aware of any general provision under German law stipulating the obligation to obtain any licences, permits, consents or other governmental approvals to provide e-commerce sales, services and support from an internet law perspective. But we may point out that certainly additional conditions may apply depending upon the type of intended transaction and might impose the duty to apply for a permit. For example, the holding of auctions requires approval by the relevant authority. It is discussed in legal literature that this obligation might also be relevant for online auctions. Similar requirements might apply for instance for the operation of lottery or the trading of weapons. Here, we recommend to examine the particular intended e-commerce sales or services in more detail before commencement to make sure that no special approval is required.</w:t>
      </w:r>
    </w:p>
    <w:p>
      <w:pPr>
        <w:pStyle w:val="Header"/>
        <w:spacing w:lineRule="auto" w:line="264"/>
        <w:ind w:hanging="0" w:start="840" w:end="0"/>
        <w:rPr/>
      </w:pPr>
      <w:r>
        <w:rPr/>
        <w:t>As already described under Sec. 1 (b) the provision of e-commerce sales services and support is - in principle - not subject to any broadcasting regulation and does therefore not require a broadcast license.</w:t>
      </w:r>
    </w:p>
    <w:p>
      <w:pPr>
        <w:pStyle w:val="Header"/>
        <w:spacing w:lineRule="auto" w:line="264"/>
        <w:ind w:hanging="840" w:start="840" w:end="0"/>
        <w:rPr/>
      </w:pPr>
      <w:r>
        <w:rPr/>
        <w:t>(d)</w:t>
        <w:tab/>
      </w:r>
      <w:r>
        <w:rPr>
          <w:b/>
        </w:rPr>
        <w:t>Would ECI be under any obligation to provide periodic reports or information to any regulatory or governmental or other body if it engaged in any of these activities?</w:t>
      </w:r>
    </w:p>
    <w:p>
      <w:pPr>
        <w:pStyle w:val="Header"/>
        <w:spacing w:lineRule="auto" w:line="264"/>
        <w:ind w:hanging="0" w:start="840" w:end="0"/>
        <w:rPr/>
      </w:pPr>
      <w:r>
        <w:rPr/>
        <w:t>The information and communications law does not provide for any reporting or information obligation. Nevertheless, with respect to the particular transaction it might be possible that such a task exists. For example, with regard to some financial transactions banking institutes might have a notification requirement for the transaction to prevent money laundering. This obligation exists irrespective of the question if such a transaction takes place in the internet.</w:t>
      </w:r>
    </w:p>
    <w:p>
      <w:pPr>
        <w:pStyle w:val="Header"/>
        <w:spacing w:lineRule="auto" w:line="264"/>
        <w:ind w:hanging="0" w:start="840" w:end="0"/>
        <w:rPr/>
      </w:pPr>
      <w:r>
        <w:rPr/>
        <w:t>According to the State Broadcasting Convention, every broadcaster and those parties holding a direct or indirect interest in that broadcaster will be required after the end of every calendar year to declare without delay to the responsible State Media Authority whether and to what extent any changes occurred in the calendar year just ended that may be of relevance in terms of media concentration. It is a violation of administrative regulations to fail to make a declaration or to make a declaration late. Violation is punishable by a fine of up to DM 500,000.00. Every broadcaster must publish an annual statement of accounts and a business report corresponding to those required of large corporations. In addition every broadcaster must provide the responsible State Media Authority with a listing of program sources.</w:t>
      </w:r>
    </w:p>
    <w:p>
      <w:pPr>
        <w:pStyle w:val="Heading2"/>
        <w:numPr>
          <w:ilvl w:val="0"/>
          <w:numId w:val="0"/>
        </w:numPr>
        <w:spacing w:lineRule="auto" w:line="264"/>
        <w:ind w:hanging="840" w:start="840" w:end="0"/>
        <w:rPr/>
      </w:pPr>
      <w:r>
        <w:rPr>
          <w:b w:val="false"/>
        </w:rPr>
        <w:t>(e)</w:t>
        <w:tab/>
      </w:r>
      <w:r>
        <w:rPr/>
        <w:t>Would ECI need to enter into any of these activities through an ECI-affiliated entity that is incorporated or otherwise organized in, or through a branch in, this jurisdiction? If so, please specify what type of entity ECI would be required to establish?</w:t>
      </w:r>
    </w:p>
    <w:p>
      <w:pPr>
        <w:pStyle w:val="Heading2"/>
        <w:numPr>
          <w:ilvl w:val="0"/>
          <w:numId w:val="0"/>
        </w:numPr>
        <w:spacing w:lineRule="auto" w:line="264"/>
        <w:ind w:hanging="0" w:start="840" w:end="0"/>
        <w:rPr>
          <w:b w:val="false"/>
        </w:rPr>
      </w:pPr>
      <w:r>
        <w:rPr>
          <w:b w:val="false"/>
        </w:rPr>
        <w:t xml:space="preserve">From an internet law perspective, no obligation exists for ECI to be incorporated in Germany. </w:t>
      </w:r>
    </w:p>
    <w:p>
      <w:pPr>
        <w:pStyle w:val="Standardnachberschrift"/>
        <w:spacing w:lineRule="auto" w:line="264" w:before="0" w:after="240"/>
        <w:ind w:start="0" w:end="0"/>
        <w:rPr>
          <w:rFonts w:ascii="CG Times" w:hAnsi="CG Times" w:cs="CG Times"/>
          <w:b/>
          <w:i/>
          <w:i/>
          <w:sz w:val="22"/>
          <w:lang w:val="en-GB"/>
        </w:rPr>
      </w:pPr>
      <w:r>
        <w:rPr>
          <w:rFonts w:cs="CG Times" w:ascii="CG Times" w:hAnsi="CG Times"/>
          <w:b/>
          <w:i/>
          <w:sz w:val="22"/>
          <w:highlight w:val="yellow"/>
          <w:lang w:val="en-GB"/>
        </w:rPr>
        <w:t>[Dies müßte bitte auch noch von den anderen Rechtsgebieten untersucht werden, wie Tax, Banking, Broadcast!]</w:t>
      </w:r>
    </w:p>
    <w:p>
      <w:pPr>
        <w:pStyle w:val="Header"/>
        <w:spacing w:lineRule="auto" w:line="264"/>
        <w:ind w:hanging="840" w:start="840" w:end="0"/>
        <w:rPr/>
      </w:pPr>
      <w:r>
        <w:rPr/>
        <w:t>(f)</w:t>
        <w:tab/>
      </w:r>
      <w:r>
        <w:rPr>
          <w:b/>
        </w:rPr>
        <w:t>Are there any restrictions that would apply to ECI’s marketing or solicitation efforts with respect to any of these activities?</w:t>
      </w:r>
    </w:p>
    <w:p>
      <w:pPr>
        <w:pStyle w:val="Header"/>
        <w:spacing w:lineRule="auto" w:line="264"/>
        <w:ind w:hanging="840" w:start="840" w:end="0"/>
        <w:rPr/>
      </w:pPr>
      <w:r>
        <w:rPr/>
        <w:t>1.</w:t>
        <w:tab/>
        <w:t>Responsibility</w:t>
      </w:r>
    </w:p>
    <w:p>
      <w:pPr>
        <w:pStyle w:val="Heading2"/>
        <w:numPr>
          <w:ilvl w:val="0"/>
          <w:numId w:val="0"/>
        </w:numPr>
        <w:spacing w:lineRule="auto" w:line="264"/>
        <w:ind w:hanging="0" w:start="840" w:end="0"/>
        <w:rPr>
          <w:b w:val="false"/>
        </w:rPr>
      </w:pPr>
      <w:r>
        <w:rPr>
          <w:b w:val="false"/>
        </w:rPr>
        <w:t>From the documentation provided to us about the business ECI intends to conduct, we are of the opinion that ECI will act either as a content or as a service provider. As a content provider, ECI would operate a website with own content. This is the case for example by providing e-commerce sales and falls under Sec. 5 para. 1 of the Teleservices Act or Media Services State Convention, respectively, stating:</w:t>
      </w:r>
    </w:p>
    <w:p>
      <w:pPr>
        <w:pStyle w:val="Heading2"/>
        <w:numPr>
          <w:ilvl w:val="0"/>
          <w:numId w:val="0"/>
        </w:numPr>
        <w:spacing w:lineRule="auto" w:line="264"/>
        <w:ind w:hanging="0" w:start="1275" w:end="0"/>
        <w:rPr>
          <w:b w:val="false"/>
        </w:rPr>
      </w:pPr>
      <w:r>
        <w:rPr>
          <w:b w:val="false"/>
        </w:rPr>
        <w:t>“</w:t>
      </w:r>
      <w:r>
        <w:rPr>
          <w:b w:val="false"/>
        </w:rPr>
        <w:t>Providers shall be responsible in accordance with general laws for their own content, which they make available for use.”</w:t>
      </w:r>
    </w:p>
    <w:p>
      <w:pPr>
        <w:pStyle w:val="Header"/>
        <w:spacing w:lineRule="auto" w:line="264"/>
        <w:ind w:hanging="0" w:start="840" w:end="0"/>
        <w:rPr/>
      </w:pPr>
      <w:r>
        <w:rPr/>
        <w:t>This means that ECI is fully responsible that its own content complies with German laws in the extent that German law is applicable. If ECI only hosts third-party content and does not offer this content under its own name, it will be regarded as service provider within the definition of Sec. 5 para. 2 of the Teleservices Act or Media Services State Convention, respectively. This norm says:</w:t>
      </w:r>
    </w:p>
    <w:p>
      <w:pPr>
        <w:pStyle w:val="Header"/>
        <w:spacing w:lineRule="auto" w:line="264"/>
        <w:ind w:hanging="0" w:start="1275" w:end="0"/>
        <w:rPr/>
      </w:pPr>
      <w:r>
        <w:rPr/>
        <w:t>“</w:t>
      </w:r>
      <w:r>
        <w:rPr/>
        <w:t>Providers shall not be responsible for any third-party content which they make available for use unless they have knowledge of such content and are technically able and can reasonably be expected to block the use of such content.”</w:t>
      </w:r>
    </w:p>
    <w:p>
      <w:pPr>
        <w:pStyle w:val="Header"/>
        <w:spacing w:lineRule="auto" w:line="264"/>
        <w:ind w:hanging="0" w:start="840" w:end="0"/>
        <w:rPr/>
      </w:pPr>
      <w:r>
        <w:rPr/>
        <w:t>In addition, Sec. 5 para. 4 of the Teleservices Act says that “the obligations in accordance with general laws to block the use of illegal content shall remain unaffected if the provider obtains knowledge of such content while complying with telecommunications secrecy under Sec. 85 of the Telecommunications Act (</w:t>
      </w:r>
      <w:r>
        <w:rPr>
          <w:i/>
        </w:rPr>
        <w:t>Telekommunikationsgesetz - TKG</w:t>
      </w:r>
      <w:r>
        <w:rPr/>
        <w:t>) and if blocking is technically feasible and can reasonably be expected”. The Media Services State Convention provides for a similar provision with regard to media services. These norms show that even if ECI is not providing own content it still can either be responsible for this content or at least is obliged to block the access if this is technically feasible and can reasonably be expected. ECI should be aware of this obligation which could lead to a restriction of the marketing and provision of the service.</w:t>
      </w:r>
    </w:p>
    <w:p>
      <w:pPr>
        <w:pStyle w:val="Heading4"/>
        <w:numPr>
          <w:ilvl w:val="0"/>
          <w:numId w:val="0"/>
        </w:numPr>
        <w:spacing w:lineRule="auto" w:line="264"/>
        <w:ind w:hanging="840" w:start="840" w:end="0"/>
        <w:rPr/>
      </w:pPr>
      <w:r>
        <w:rPr/>
        <w:t xml:space="preserve">2. </w:t>
        <w:tab/>
        <w:t>Unfair competition law and trademark infringement</w:t>
      </w:r>
    </w:p>
    <w:p>
      <w:pPr>
        <w:pStyle w:val="Header"/>
        <w:spacing w:lineRule="auto" w:line="264"/>
        <w:ind w:hanging="0" w:start="840" w:end="0"/>
        <w:rPr/>
      </w:pPr>
      <w:r>
        <w:rPr/>
        <w:t xml:space="preserve">German unfair competition law is applicable with regard to a website addressing the German market irrespective of its </w:t>
      </w:r>
      <w:r>
        <w:rPr>
          <w:i/>
        </w:rPr>
        <w:t>de facto</w:t>
      </w:r>
      <w:r>
        <w:rPr/>
        <w:t xml:space="preserve"> location. ECI obviously targets the German market by regularly trading with and marketing to German contract partners, either merchants (here ISP) or end-customers. It is held that the presentation of goods and services on a website together with a price list and general terms and conditions of purchase is legally equal to a presentation by means of a conventional catalogue or price list and is thus deemed to be an advertisement. Pursuant to Sec. 3 of the Act against Unfair Competition (</w:t>
      </w:r>
      <w:r>
        <w:rPr>
          <w:i/>
        </w:rPr>
        <w:t>Gesetz gegen unlauteren Wettbewerb - UWG</w:t>
      </w:r>
      <w:r>
        <w:rPr/>
        <w:t xml:space="preserve">) an advertisement must not contain any misleading information such as inaccurate statements, nor, according to Sec. 1 Unfair Competition Act, may it include comparative references which criticise or disparage a rival product or a competitor. </w:t>
      </w:r>
    </w:p>
    <w:p>
      <w:pPr>
        <w:pStyle w:val="Header"/>
        <w:spacing w:lineRule="auto" w:line="264"/>
        <w:ind w:hanging="0" w:start="840" w:end="0"/>
        <w:rPr/>
      </w:pPr>
      <w:r>
        <w:rPr/>
        <w:t>In addition to the Act against Unfair Competition, a number of further acts such as the Act Governing Discounts (</w:t>
      </w:r>
      <w:r>
        <w:rPr>
          <w:i/>
        </w:rPr>
        <w:t>Rabattgesetz - RabattG</w:t>
      </w:r>
      <w:r>
        <w:rPr/>
        <w:t>), the Regulation on Free Gifts (</w:t>
      </w:r>
      <w:r>
        <w:rPr>
          <w:i/>
        </w:rPr>
        <w:t>Zugabeverordnung - ZugabeVO</w:t>
      </w:r>
      <w:r>
        <w:rPr/>
        <w:t>) or Regulations on Lotteries and Gaming are often relevant with regard to advertising.</w:t>
      </w:r>
    </w:p>
    <w:p>
      <w:pPr>
        <w:pStyle w:val="Header"/>
        <w:spacing w:lineRule="auto" w:line="264"/>
        <w:ind w:hanging="0" w:start="840" w:end="0"/>
        <w:rPr/>
      </w:pPr>
      <w:r>
        <w:rPr/>
        <w:t xml:space="preserve">This area is very complex and strongly influenced by case law. A breach of the law might have consequences like an injunction against the illegal advertisement or a claim for damages against ECI, hence it is generally advisable to </w:t>
      </w:r>
      <w:r>
        <w:rPr>
          <w:i/>
        </w:rPr>
        <w:t>have</w:t>
      </w:r>
      <w:r>
        <w:rPr/>
        <w:t xml:space="preserve"> the advertising reviewed from a legal perspective prior to launching the website.</w:t>
      </w:r>
    </w:p>
    <w:p>
      <w:pPr>
        <w:pStyle w:val="Header"/>
        <w:spacing w:lineRule="auto" w:line="264"/>
        <w:ind w:hanging="840" w:start="840" w:end="0"/>
        <w:rPr/>
      </w:pPr>
      <w:r>
        <w:rPr/>
        <w:t xml:space="preserve">3. </w:t>
        <w:tab/>
        <w:t>Trademark law</w:t>
      </w:r>
    </w:p>
    <w:p>
      <w:pPr>
        <w:pStyle w:val="Header"/>
        <w:spacing w:lineRule="auto" w:line="264"/>
        <w:ind w:hanging="0" w:start="840" w:end="0"/>
        <w:rPr/>
      </w:pPr>
      <w:r>
        <w:rPr/>
        <w:t>The same holds true for potential trademark infringements since if a website addresses the German market, for example by offering goods or services to parties located in Germany or by delivery towards Germany, German intellectual property rights might be affected. As a consequence, a trademark owner in Germany whose trademark might be infringed by the website operated by ECI might seek redress in a German court.</w:t>
      </w:r>
    </w:p>
    <w:p>
      <w:pPr>
        <w:pStyle w:val="Header"/>
        <w:spacing w:lineRule="auto" w:line="264"/>
        <w:ind w:start="840" w:end="0"/>
        <w:rPr/>
      </w:pPr>
      <w:r>
        <w:rPr/>
        <w:t>4.</w:t>
        <w:tab/>
        <w:t>Broadcast law</w:t>
      </w:r>
    </w:p>
    <w:p>
      <w:pPr>
        <w:pStyle w:val="Header"/>
        <w:spacing w:lineRule="auto" w:line="264"/>
        <w:ind w:hanging="0" w:start="840" w:end="0"/>
        <w:rPr/>
      </w:pPr>
      <w:r>
        <w:rPr/>
        <w:t>In the event that ECI’s activities should be qualified as broadcasting, there are no special restrictions under applicable German broadcasting laws on ECI’s marketing or solicitation efforts. However, should ECI’s activities be qualified as teleservices or media services the following should be noted to complete the picture:</w:t>
      </w:r>
    </w:p>
    <w:p>
      <w:pPr>
        <w:pStyle w:val="Header"/>
        <w:spacing w:lineRule="auto" w:line="264"/>
        <w:ind w:hanging="0" w:start="840" w:end="0"/>
        <w:rPr/>
      </w:pPr>
      <w:r>
        <w:rPr/>
        <w:t>The Federal Tele-Services Data Protection Act and the MStV contain detailed obligations of providers under data protection law with regard to the collection of use and personal data and put these obligations in more concrete terms with regard to the processing of master, use and invoice data. In addition the user receives the right to obtain information from the provider if the provider stores personal data. The provision obligating providers of new telecommunication services to turn over their master data to security authorities upon demand did not become a law.</w:t>
      </w:r>
    </w:p>
    <w:p>
      <w:pPr>
        <w:pStyle w:val="Header"/>
        <w:numPr>
          <w:ilvl w:val="0"/>
          <w:numId w:val="22"/>
        </w:numPr>
        <w:spacing w:lineRule="auto" w:line="264"/>
        <w:rPr>
          <w:b/>
        </w:rPr>
      </w:pPr>
      <w:r>
        <w:rPr>
          <w:b/>
        </w:rPr>
        <w:t>Are there any other legal, intellectual property or regulatory issues relating to these activities or to the regulatory environment in general of which we should be made aware?</w:t>
      </w:r>
    </w:p>
    <w:p>
      <w:pPr>
        <w:pStyle w:val="Header"/>
        <w:spacing w:lineRule="auto" w:line="264"/>
        <w:ind w:hanging="840" w:start="840" w:end="0"/>
        <w:rPr/>
      </w:pPr>
      <w:r>
        <w:rPr/>
        <w:t>1.</w:t>
        <w:tab/>
        <w:t>Consumer Protection</w:t>
      </w:r>
    </w:p>
    <w:p>
      <w:pPr>
        <w:pStyle w:val="Header"/>
        <w:spacing w:lineRule="auto" w:line="264"/>
        <w:ind w:hanging="0" w:start="840" w:end="0"/>
        <w:rPr/>
      </w:pPr>
      <w:r>
        <w:rPr/>
        <w:t>Since ECI intends to offer E-commerce activities and we assume that the provision will be based upon standard form contracts, the German Act on General Terms and Conditions (</w:t>
      </w:r>
      <w:r>
        <w:rPr>
          <w:i/>
        </w:rPr>
        <w:t>AGB-Gesetz</w:t>
      </w:r>
      <w:r>
        <w:rPr/>
        <w:t>) shall be mentioned, which applies not only on contracts with individuals but its main provisions also on contracts between companies. This Act deals with several matters which might become relevant, like e.g. liability and warranties, and is applicable on contractual provisions which are preformulated for a significant number of contracts and presented by ECI. The Act can only be evaded by individual negotiation between the contracting parties. Therefore, it is strongly recommended that any possible agreements in connection with the distribution of content shall be reviewed for compliance with the Act on General Terms and Conditions and other consumer protection law which might be applicable on the respective transaction.</w:t>
      </w:r>
    </w:p>
    <w:p>
      <w:pPr>
        <w:pStyle w:val="Header"/>
        <w:spacing w:lineRule="auto" w:line="264"/>
        <w:ind w:hanging="840" w:start="840" w:end="0"/>
        <w:rPr/>
      </w:pPr>
      <w:r>
        <w:rPr/>
        <w:t>2.</w:t>
        <w:tab/>
        <w:t>Data Protection</w:t>
      </w:r>
    </w:p>
    <w:p>
      <w:pPr>
        <w:pStyle w:val="Header"/>
        <w:spacing w:lineRule="auto" w:line="264"/>
        <w:ind w:hanging="0" w:start="840" w:end="0"/>
        <w:rPr/>
      </w:pPr>
      <w:r>
        <w:rPr/>
        <w:t xml:space="preserve">The German Teleservices Data Protection Act </w:t>
      </w:r>
      <w:r>
        <w:rPr>
          <w:i/>
        </w:rPr>
        <w:t>(Teledienstedatenschutzgesetz - TDDSG)</w:t>
      </w:r>
      <w:r>
        <w:rPr/>
        <w:t xml:space="preserve"> - which is part of the Information and Communication Services Act - applies to the protection of personal data used in teleservices, i.e. with regard to internet based services. Under this Act, personal data may be collected, processed and used by providers for performing teleservices only if permitted by this Act or some other regulation or if the user has given his consent. Therefore, there are two options:</w:t>
      </w:r>
    </w:p>
    <w:p>
      <w:pPr>
        <w:pStyle w:val="Header"/>
        <w:numPr>
          <w:ilvl w:val="0"/>
          <w:numId w:val="6"/>
        </w:numPr>
        <w:tabs>
          <w:tab w:val="clear" w:pos="720"/>
          <w:tab w:val="left" w:pos="1200" w:leader="none"/>
        </w:tabs>
        <w:spacing w:lineRule="auto" w:line="264"/>
        <w:ind w:hanging="360" w:start="1200" w:end="0"/>
        <w:rPr/>
      </w:pPr>
      <w:r>
        <w:rPr/>
        <w:t>Permission under law: The provider may collect, process and use personal data of a user which are required for concluding, determining or modifying a contract with the user on the use of teleservices (contractual data). Also with respect to utilisation and accounting data, the provider may collect, process and use these data to the extent necessary to enable and charge the use of teleservices. Therefore, if only contractual, utilisation or accounting data within the definition of the Teleservices Data Protection Act are involved, an express consent is not required if the data processing is within the legal scope.</w:t>
      </w:r>
    </w:p>
    <w:p>
      <w:pPr>
        <w:pStyle w:val="Header"/>
        <w:numPr>
          <w:ilvl w:val="0"/>
          <w:numId w:val="6"/>
        </w:numPr>
        <w:tabs>
          <w:tab w:val="clear" w:pos="720"/>
          <w:tab w:val="left" w:pos="1200" w:leader="none"/>
        </w:tabs>
        <w:spacing w:lineRule="auto" w:line="264"/>
        <w:ind w:hanging="360" w:start="1200" w:end="0"/>
        <w:rPr/>
      </w:pPr>
      <w:r>
        <w:rPr/>
        <w:t>Consent of the user: If the use of data is not permitted by law, express consent of the user is required. The user shall be informed about the type, scope, place and purposes of collection, processing and use of his personal data. The consent may either be given in writing or electronically, provided that the declaration meets some technical and organisational precautions similar to a digital signature.</w:t>
      </w:r>
    </w:p>
    <w:p>
      <w:pPr>
        <w:pStyle w:val="Header"/>
        <w:spacing w:lineRule="auto" w:line="264"/>
        <w:ind w:hanging="0" w:start="840" w:end="0"/>
        <w:rPr/>
      </w:pPr>
      <w:r>
        <w:rPr/>
        <w:t>The Media Services State Convention provides for similar provisions with regard to media services and we recommend to consider these legal obligations when personal data will be used by ECI in connection with the distribution of content.</w:t>
      </w:r>
    </w:p>
    <w:p>
      <w:pPr>
        <w:pStyle w:val="Header"/>
        <w:spacing w:lineRule="auto" w:line="264"/>
        <w:ind w:hanging="840" w:start="840" w:end="0"/>
        <w:rPr/>
      </w:pPr>
      <w:r>
        <w:rPr/>
        <w:t xml:space="preserve">3. </w:t>
        <w:tab/>
        <w:t>Electronic Payment</w:t>
      </w:r>
    </w:p>
    <w:p>
      <w:pPr>
        <w:pStyle w:val="Header"/>
        <w:spacing w:lineRule="auto" w:line="264"/>
        <w:ind w:hanging="0" w:start="840" w:end="0"/>
        <w:rPr/>
      </w:pPr>
      <w:r>
        <w:rPr/>
        <w:t>We understand that ECI thinks of providing e-commerce services which might encompass the technical management of payment transaction like the use of credits cards for electronic payments via the internet. We may point out that in general, the use of electronic payment systems in the internet like telebanking, use of credit cards or of micropayments are in correspondence with German law but that at the current state, the proof of the payment transaction might be difficult. Reason is that for example a party paying through the internet by using a credit card cannot be identified and the credit card holder cannot be verified. Here, it might be helpful to use an electronic verification system. With regard to credit card transaction, SET (Secure Electronic Transaction) is an industry standard protocol and should be taken into consideration.</w:t>
      </w:r>
    </w:p>
    <w:p>
      <w:pPr>
        <w:pStyle w:val="Header"/>
        <w:spacing w:lineRule="auto" w:line="264"/>
        <w:ind w:hanging="0" w:start="840" w:end="0"/>
        <w:rPr/>
      </w:pPr>
      <w:r>
        <w:rPr/>
        <w:t xml:space="preserve">In principle, we would advise to provide for an authentication and verification system based on reliable encryption techniques such as a digital signature. Such techniques shall be capable of ensuring that the identity of the contract partner as well as the integrity of the order placed can be proven. Whilst no judgements have yet been pronounced by German courts in this specific and fairly new area, it is likely that ECI could, in principle, bring forward a </w:t>
      </w:r>
      <w:r>
        <w:rPr>
          <w:i/>
        </w:rPr>
        <w:t>prima facie</w:t>
      </w:r>
      <w:r>
        <w:rPr/>
        <w:t xml:space="preserve"> (which of course might be rebutted by the contract partner) evidence for the authenticity of a given order, if the authentication and verification systems in use were of a quality which would be regarded as safe by the courts. Such a system would firstly have to use a key of sufficient length to prevent manipulation reliably and would secondly have to provide for a mechanism which ensures that the personal key has been generated by or on behalf of nobody else but the individual named in the key. Keys generated in compliance with the German Signature Act (</w:t>
      </w:r>
      <w:r>
        <w:rPr>
          <w:i/>
        </w:rPr>
        <w:t>Signaturgesetz - SigG</w:t>
      </w:r>
      <w:r>
        <w:rPr/>
        <w:t xml:space="preserve">) - which states the implementation of a digital signature under a private/public-key encryption system - are expected to meet these requirements and therefore establish a </w:t>
      </w:r>
      <w:r>
        <w:rPr>
          <w:i/>
        </w:rPr>
        <w:t>prima facie</w:t>
      </w:r>
      <w:r>
        <w:rPr/>
        <w:t xml:space="preserve"> evidence, although this Act does not expressly hold that the use of a digital signature which meets the statutory requirements gives proof of authenticity and integrity of the declaration of the contract partner.</w:t>
      </w:r>
    </w:p>
    <w:p>
      <w:pPr>
        <w:pStyle w:val="Header"/>
        <w:spacing w:lineRule="auto" w:line="264"/>
        <w:ind w:hanging="0" w:start="840" w:end="0"/>
        <w:rPr/>
      </w:pPr>
      <w:r>
        <w:rPr/>
        <w:t>As an alternative, ECI could think of meeting the requirements for electronic signatures as stipulated in the draft EU-directive on a common framework for electronic signatures. This directive passed the European Parliament on 27 October 1999. If the directive enters into force, it has to be transformed into national law throughout Europe until 31 December 2000. As an advantage, ECI does not have to deal with different national legislation on digital signatures.</w:t>
      </w:r>
    </w:p>
    <w:p>
      <w:pPr>
        <w:pStyle w:val="Normal"/>
        <w:spacing w:before="0" w:after="240"/>
        <w:rPr/>
      </w:pPr>
      <w:r>
        <w:rPr/>
      </w:r>
    </w:p>
    <w:sectPr>
      <w:headerReference w:type="default" r:id="rId12"/>
      <w:headerReference w:type="first" r:id="rId13"/>
      <w:footerReference w:type="default" r:id="rId14"/>
      <w:footerReference w:type="first" r:id="rId15"/>
      <w:type w:val="nextPage"/>
      <w:pgSz w:w="11906" w:h="16838"/>
      <w:pgMar w:left="1701" w:right="1701" w:gutter="0" w:header="720" w:top="1440" w:footer="284"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Copperplate33bc">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40"/>
      <w:jc w:val="center"/>
      <w:rPr>
        <w:rFonts w:ascii="Copperplate33bc" w:hAnsi="Copperplate33bc" w:cs="Copperplate33bc"/>
        <w:sz w:val="36"/>
      </w:rPr>
    </w:pPr>
    <w:r>
      <w:rPr>
        <w:rFonts w:cs="Copperplate33bc" w:ascii="Copperplate33bc" w:hAnsi="Copperplate33bc"/>
        <w:sz w:val="36"/>
      </w:rPr>
      <w:t>CLIFFORD CHANCE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22"/>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tab/>
    </w:r>
    <w:r>
      <w:rPr>
        <w:sz w:val="22"/>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t>London-1/469670/01</w:t>
      <w:tab/>
      <w:t xml:space="preserv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24</w:t>
    </w:r>
    <w:r>
      <w:rPr>
        <w:rStyle w:val="PageNumber"/>
        <w:sz w:val="16"/>
      </w:rPr>
      <w:fldChar w:fldCharType="end"/>
    </w:r>
    <w:r>
      <w:rPr>
        <w:rStyle w:val="PageNumber"/>
        <w:sz w:val="16"/>
      </w:rPr>
      <w:t xml:space="preserve"> -</w:t>
    </w:r>
    <w:r>
      <w:rPr/>
      <w:tab/>
      <w:t>E4066/00027</w:t>
    </w:r>
  </w:p>
  <w:p>
    <w:pPr>
      <w:pStyle w:val="Footer"/>
      <w:spacing w:before="0" w:after="240"/>
      <w:rPr>
        <w:sz w:val="22"/>
      </w:rPr>
    </w:pPr>
    <w:r>
      <w:rPr>
        <w:sz w:val="22"/>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London-1/469670/01</w:t>
      <w:tab/>
      <w:t xml:space="preserv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32</w:t>
    </w:r>
    <w:r>
      <w:rPr>
        <w:rStyle w:val="PageNumber"/>
        <w:sz w:val="16"/>
      </w:rPr>
      <w:fldChar w:fldCharType="end"/>
    </w:r>
    <w:r>
      <w:rPr>
        <w:rStyle w:val="PageNumber"/>
        <w:sz w:val="16"/>
      </w:rPr>
      <w:t xml:space="preserve"> -</w:t>
    </w:r>
    <w:r>
      <w:rPr/>
      <w:tab/>
      <w:t>E4066/00027</w:t>
    </w:r>
  </w:p>
  <w:p>
    <w:pPr>
      <w:pStyle w:val="Footer"/>
      <w:spacing w:before="0" w:after="240"/>
      <w:rPr>
        <w:sz w:val="22"/>
      </w:rPr>
    </w:pPr>
    <w:r>
      <w:rPr>
        <w:sz w:val="22"/>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fldChar w:fldCharType="begin"/>
    </w:r>
    <w:r>
      <w:rPr/>
      <w:instrText xml:space="preserve"> REF BMDraftDate \h </w:instrText>
    </w:r>
    <w:r>
      <w:rPr/>
      <w:fldChar w:fldCharType="separate"/>
    </w:r>
    <w:r>
      <w:rPr/>
      <w:t>Error: Reference source not found</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Fonts w:ascii="CG Times" w:hAnsi="CG Times" w:cs="CG Times"/>
      </w:rPr>
    </w:lvl>
    <w:lvl w:ilvl="1">
      <w:start w:val="1"/>
      <w:pStyle w:val="Heading2"/>
      <w:numFmt w:val="decimal"/>
      <w:lvlText w:val="%1.%2"/>
      <w:lvlJc w:val="start"/>
      <w:pPr>
        <w:tabs>
          <w:tab w:val="num" w:pos="624"/>
        </w:tabs>
        <w:ind w:start="624" w:hanging="624"/>
      </w:pPr>
      <w:rPr>
        <w:sz w:val="20"/>
        <w:i w:val="false"/>
        <w:b w:val="false"/>
      </w:rPr>
    </w:lvl>
    <w:lvl w:ilvl="2">
      <w:start w:val="1"/>
      <w:pStyle w:val="Heading3"/>
      <w:numFmt w:val="decimal"/>
      <w:lvlText w:val="%1.%2.%3"/>
      <w:lvlJc w:val="start"/>
      <w:pPr>
        <w:tabs>
          <w:tab w:val="num" w:pos="1417"/>
        </w:tabs>
        <w:ind w:start="1417" w:hanging="793"/>
      </w:pPr>
      <w:rPr>
        <w:sz w:val="18"/>
        <w:i w:val="false"/>
        <w:b w:val="false"/>
      </w:rPr>
    </w:lvl>
    <w:lvl w:ilvl="3">
      <w:start w:val="1"/>
      <w:pStyle w:val="Heading4"/>
      <w:numFmt w:val="lowerLetter"/>
      <w:lvlText w:val="(%4)"/>
      <w:lvlJc w:val="start"/>
      <w:pPr>
        <w:tabs>
          <w:tab w:val="num" w:pos="1928"/>
        </w:tabs>
        <w:ind w:start="1928" w:hanging="511"/>
      </w:pPr>
      <w:rPr>
        <w:sz w:val="20"/>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decimal"/>
      <w:lvlText w:val="SCHEDULE %9"/>
      <w:lvlJc w:val="start"/>
      <w:pPr>
        <w:tabs>
          <w:tab w:val="num" w:pos="0"/>
        </w:tabs>
        <w:ind w:start="0" w:hanging="0"/>
      </w:pPr>
      <w:rPr>
        <w:caps/>
        <w:sz w:val="22"/>
        <w:i w:val="false"/>
        <w:b/>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720"/>
        </w:tabs>
        <w:ind w:start="720" w:hanging="720"/>
      </w:pPr>
    </w:lvl>
    <w:lvl w:ilvl="1">
      <w:start w:val="1"/>
      <w:numFmt w:val="upperLetter"/>
      <w:lvlText w:val="(%2)"/>
      <w:lvlJc w:val="start"/>
      <w:pPr>
        <w:tabs>
          <w:tab w:val="num" w:pos="1440"/>
        </w:tabs>
        <w:ind w:start="1440" w:hanging="720"/>
      </w:pPr>
    </w:lvl>
    <w:lvl w:ilvl="2">
      <w:start w:val="1"/>
      <w:numFmt w:val="upperLetter"/>
      <w:lvlText w:val="(%3)"/>
      <w:lvlJc w:val="start"/>
      <w:pPr>
        <w:tabs>
          <w:tab w:val="num" w:pos="2160"/>
        </w:tabs>
        <w:ind w:start="2160" w:hanging="720"/>
      </w:pPr>
    </w:lvl>
    <w:lvl w:ilvl="3">
      <w:start w:val="1"/>
      <w:numFmt w:val="lowerRoman"/>
      <w:lvlText w:val="(%4)"/>
      <w:lvlJc w:val="end"/>
      <w:pPr>
        <w:tabs>
          <w:tab w:val="num" w:pos="864"/>
        </w:tabs>
        <w:ind w:start="864" w:hanging="144"/>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4">
    <w:lvl w:ilvl="0">
      <w:start w:val="1"/>
      <w:numFmt w:val="lowerRoman"/>
      <w:lvlText w:val="(%1)"/>
      <w:lvlJc w:val="start"/>
      <w:pPr>
        <w:tabs>
          <w:tab w:val="num" w:pos="720"/>
        </w:tabs>
        <w:ind w:start="720" w:hanging="720"/>
      </w:pPr>
    </w:lvl>
    <w:lvl w:ilvl="1">
      <w:start w:val="1"/>
      <w:numFmt w:val="lowerRoman"/>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720"/>
        </w:tabs>
        <w:ind w:start="720" w:hanging="720"/>
      </w:pPr>
    </w:lvl>
    <w:lvl w:ilvl="1">
      <w:start w:val="1"/>
      <w:numFmt w:val="decimal"/>
      <w:lvlText w:val="%2."/>
      <w:lvlJc w:val="start"/>
      <w:pPr>
        <w:tabs>
          <w:tab w:val="num" w:pos="720"/>
        </w:tabs>
        <w:ind w:start="720" w:hanging="721"/>
      </w:pPr>
    </w:lvl>
    <w:lvl w:ilvl="2">
      <w:start w:val="1"/>
      <w:numFmt w:val="lowerRoman"/>
      <w:lvlText w:val="(%3)"/>
      <w:lvlJc w:val="start"/>
      <w:pPr>
        <w:tabs>
          <w:tab w:val="num" w:pos="2160"/>
        </w:tabs>
        <w:ind w:start="2160" w:hanging="72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720" w:hanging="720"/>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16">
    <w:lvl w:ilvl="0">
      <w:start w:val="1"/>
      <w:numFmt w:val="lowerLetter"/>
      <w:lvlText w:val="(%1)"/>
      <w:lvlJc w:val="start"/>
      <w:pPr>
        <w:tabs>
          <w:tab w:val="num" w:pos="720"/>
        </w:tabs>
        <w:ind w:start="720" w:hanging="720"/>
      </w:pPr>
      <w:rPr>
        <w:i w:val="false"/>
        <w:b w:val="false"/>
      </w:rPr>
    </w:lvl>
    <w:lvl w:ilvl="1">
      <w:start w:val="1"/>
      <w:numFmt w:val="lowerLetter"/>
      <w:lvlText w:val="(%2)"/>
      <w:lvlJc w:val="start"/>
      <w:pPr>
        <w:tabs>
          <w:tab w:val="num" w:pos="1440"/>
        </w:tabs>
        <w:ind w:start="1440" w:hanging="720"/>
      </w:pPr>
    </w:lvl>
    <w:lvl w:ilvl="2">
      <w:start w:val="1"/>
      <w:numFmt w:val="lowerLetter"/>
      <w:lvlText w:val="(%3)"/>
      <w:lvlJc w:val="start"/>
      <w:pPr>
        <w:tabs>
          <w:tab w:val="num" w:pos="2160"/>
        </w:tabs>
        <w:ind w:start="2160" w:hanging="72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7">
    <w:lvl w:ilvl="0">
      <w:start w:val="1"/>
      <w:numFmt w:val="upperLetter"/>
      <w:lvlText w:val="%1."/>
      <w:lvlJc w:val="start"/>
      <w:pPr>
        <w:tabs>
          <w:tab w:val="num" w:pos="720"/>
        </w:tabs>
        <w:ind w:start="720" w:hanging="720"/>
      </w:pPr>
      <w:rPr>
        <w:i w:val="false"/>
        <w:b w:val="false"/>
      </w:rPr>
    </w:lvl>
    <w:lvl w:ilvl="1">
      <w:start w:val="1"/>
      <w:numFmt w:val="lowerLetter"/>
      <w:lvlText w:val="(%2)"/>
      <w:lvlJc w:val="start"/>
      <w:pPr>
        <w:tabs>
          <w:tab w:val="num" w:pos="720"/>
        </w:tabs>
        <w:ind w:start="720" w:hanging="720"/>
      </w:pPr>
      <w:rPr>
        <w:i w:val="false"/>
        <w:b w:val="false"/>
      </w:rPr>
    </w:lvl>
    <w:lvl w:ilvl="2">
      <w:start w:val="1"/>
      <w:numFmt w:val="lowerRoman"/>
      <w:lvlText w:val="(%3)"/>
      <w:lvlJc w:val="start"/>
      <w:pPr>
        <w:tabs>
          <w:tab w:val="num" w:pos="1440"/>
        </w:tabs>
        <w:ind w:start="720" w:hanging="0"/>
      </w:pPr>
      <w:rPr>
        <w:i w:val="false"/>
        <w:b w:val="false"/>
      </w:rPr>
    </w:lvl>
    <w:lvl w:ilvl="3">
      <w:start w:val="1"/>
      <w:numFmt w:val="lowerLetter"/>
      <w:lvlText w:val="(%4)"/>
      <w:lvlJc w:val="start"/>
      <w:pPr>
        <w:tabs>
          <w:tab w:val="num" w:pos="1440"/>
        </w:tabs>
        <w:ind w:start="1440" w:hanging="720"/>
      </w:pPr>
      <w:rPr>
        <w:i w:val="false"/>
        <w:b w:val="false"/>
      </w:rPr>
    </w:lvl>
    <w:lvl w:ilvl="4">
      <w:start w:val="1"/>
      <w:numFmt w:val="lowerRoman"/>
      <w:lvlText w:val="(%5)"/>
      <w:lvlJc w:val="start"/>
      <w:pPr>
        <w:tabs>
          <w:tab w:val="num" w:pos="2160"/>
        </w:tabs>
        <w:ind w:start="2160" w:hanging="720"/>
      </w:pPr>
      <w:rPr>
        <w:i w:val="false"/>
        <w:b w:val="false"/>
      </w:rPr>
    </w:lvl>
    <w:lvl w:ilvl="5">
      <w:start w:val="1"/>
      <w:numFmt w:val="decimal"/>
      <w:lvlText w:val="(%6)"/>
      <w:lvlJc w:val="start"/>
      <w:pPr>
        <w:tabs>
          <w:tab w:val="num" w:pos="2880"/>
        </w:tabs>
        <w:ind w:start="2880" w:hanging="720"/>
      </w:pPr>
      <w:rPr>
        <w:i w:val="false"/>
        <w:b w:val="false"/>
      </w:rPr>
    </w:lvl>
    <w:lvl w:ilvl="6">
      <w:start w:val="1"/>
      <w:numFmt w:val="none"/>
      <w:suff w:val="nothing"/>
      <w:lvlText w:val=""/>
      <w:lvlJc w:val="start"/>
      <w:pPr>
        <w:tabs>
          <w:tab w:val="num" w:pos="360"/>
        </w:tabs>
        <w:ind w:start="0" w:hanging="0"/>
      </w:pPr>
    </w:lvl>
    <w:lvl w:ilvl="7">
      <w:start w:val="1"/>
      <w:numFmt w:val="none"/>
      <w:suff w:val="nothing"/>
      <w:lvlText w:val=""/>
      <w:lvlJc w:val="start"/>
      <w:pPr>
        <w:tabs>
          <w:tab w:val="num" w:pos="360"/>
        </w:tabs>
        <w:ind w:start="0" w:hanging="0"/>
      </w:pPr>
    </w:lvl>
    <w:lvl w:ilvl="8">
      <w:start w:val="1"/>
      <w:numFmt w:val="none"/>
      <w:suff w:val="nothing"/>
      <w:lvlText w:val=""/>
      <w:lvlJc w:val="start"/>
      <w:pPr>
        <w:tabs>
          <w:tab w:val="num" w:pos="360"/>
        </w:tabs>
        <w:ind w:start="0" w:hanging="0"/>
      </w:p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decimal"/>
      <w:lvlText w:val="(%1)"/>
      <w:lvlJc w:val="start"/>
      <w:pPr>
        <w:tabs>
          <w:tab w:val="num" w:pos="720"/>
        </w:tabs>
        <w:ind w:start="720" w:hanging="720"/>
      </w:pPr>
    </w:lvl>
    <w:lvl w:ilvl="1">
      <w:start w:val="1"/>
      <w:numFmt w:val="decimal"/>
      <w:lvlText w:val="(%2)"/>
      <w:lvlJc w:val="start"/>
      <w:pPr>
        <w:tabs>
          <w:tab w:val="num" w:pos="1440"/>
        </w:tabs>
        <w:ind w:start="1440" w:hanging="720"/>
      </w:pPr>
    </w:lvl>
    <w:lvl w:ilvl="2">
      <w:start w:val="1"/>
      <w:numFmt w:val="decimal"/>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21">
    <w:lvl w:ilvl="0">
      <w:start w:val="1"/>
      <w:numFmt w:val="bullet"/>
      <w:lvlText w:val=""/>
      <w:lvlJc w:val="start"/>
      <w:pPr>
        <w:tabs>
          <w:tab w:val="num" w:pos="360"/>
        </w:tabs>
        <w:ind w:start="360" w:hanging="360"/>
      </w:pPr>
      <w:rPr>
        <w:rFonts w:ascii="Wingdings" w:hAnsi="Wingdings" w:cs="Wingdings" w:hint="default"/>
        <w:sz w:val="16"/>
      </w:rPr>
    </w:lvl>
  </w:abstractNum>
  <w:abstractNum w:abstractNumId="22">
    <w:lvl w:ilvl="0">
      <w:start w:val="7"/>
      <w:numFmt w:val="lowerLetter"/>
      <w:lvlText w:val="(%1)"/>
      <w:lvlJc w:val="start"/>
      <w:pPr>
        <w:tabs>
          <w:tab w:val="num" w:pos="840"/>
        </w:tabs>
        <w:ind w:start="840" w:hanging="840"/>
      </w:pPr>
      <w:rPr>
        <w:b w:val="false"/>
      </w:rPr>
    </w:lvl>
  </w:abstractNum>
  <w:abstractNum w:abstractNumId="23">
    <w:lvl w:ilvl="0">
      <w:start w:val="1"/>
      <w:numFmt w:val="lowerLetter"/>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Letter"/>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4">
    <w:lvl w:ilvl="0">
      <w:start w:val="1"/>
      <w:numFmt w:val="upperLetter"/>
      <w:lvlText w:val="Part %1"/>
      <w:lvlJc w:val="start"/>
      <w:pPr>
        <w:tabs>
          <w:tab w:val="num" w:pos="612"/>
        </w:tabs>
        <w:ind w:start="0" w:hanging="0"/>
      </w:pPr>
      <w:rPr>
        <w:sz w:val="21"/>
        <w:b/>
        <w:rFonts w:ascii="CG Times" w:hAnsi="CG Times" w:cs="CG Times"/>
      </w:r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720"/>
        </w:tabs>
        <w:ind w:start="720" w:hanging="720"/>
      </w:pPr>
      <w:rPr>
        <w:rFonts w:ascii="Symbol" w:hAnsi="Symbol" w:cs="Symbol" w:hint="default"/>
      </w:rPr>
    </w:lvl>
  </w:abstractNum>
  <w:abstractNum w:abstractNumId="27">
    <w:lvl w:ilvl="0">
      <w:start w:val="1"/>
      <w:numFmt w:val="decimal"/>
      <w:lvlText w:val="%1)"/>
      <w:lvlJc w:val="start"/>
      <w:pPr>
        <w:tabs>
          <w:tab w:val="num" w:pos="720"/>
        </w:tabs>
        <w:ind w:start="1069"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6"/>
    <w:lvlOverride w:ilvl="0">
      <w:startOverride w:val="1"/>
    </w:lvlOverride>
  </w:num>
  <w:num w:numId="29">
    <w:abstractNumId w:val="16"/>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arkCheckBox" w:val="TRUE"/>
    <w:docVar w:name="PPStyle" w:val="2"/>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40"/>
      <w:jc w:val="both"/>
    </w:pPr>
    <w:rPr>
      <w:rFonts w:ascii="CG Times" w:hAnsi="CG Times" w:eastAsia="Times New Roman" w:cs="CG Times"/>
      <w:color w:val="auto"/>
      <w:sz w:val="22"/>
      <w:szCs w:val="20"/>
      <w:lang w:val="en-GB" w:bidi="ar-SA" w:eastAsia="zh-CN"/>
    </w:rPr>
  </w:style>
  <w:style w:type="paragraph" w:styleId="Heading1">
    <w:name w:val="heading 1"/>
    <w:basedOn w:val="Normal"/>
    <w:next w:val="Heading2"/>
    <w:qFormat/>
    <w:pPr>
      <w:keepNext w:val="true"/>
      <w:numPr>
        <w:ilvl w:val="0"/>
        <w:numId w:val="1"/>
      </w:numPr>
      <w:spacing w:before="120" w:after="120"/>
      <w:outlineLvl w:val="0"/>
    </w:pPr>
    <w:rPr>
      <w:b/>
      <w:caps/>
      <w:kern w:val="2"/>
    </w:rPr>
  </w:style>
  <w:style w:type="paragraph" w:styleId="Heading2">
    <w:name w:val="heading 2"/>
    <w:basedOn w:val="Normal"/>
    <w:next w:val="BodyText"/>
    <w:qFormat/>
    <w:pPr>
      <w:numPr>
        <w:ilvl w:val="1"/>
        <w:numId w:val="1"/>
      </w:numPr>
      <w:outlineLvl w:val="1"/>
    </w:pPr>
    <w:rPr>
      <w:b/>
    </w:rPr>
  </w:style>
  <w:style w:type="paragraph" w:styleId="Heading3">
    <w:name w:val="heading 3"/>
    <w:basedOn w:val="Normal"/>
    <w:next w:val="BodyText"/>
    <w:qFormat/>
    <w:pPr>
      <w:numPr>
        <w:ilvl w:val="2"/>
        <w:numId w:val="1"/>
      </w:numPr>
      <w:outlineLvl w:val="2"/>
    </w:pPr>
    <w:rPr/>
  </w:style>
  <w:style w:type="paragraph" w:styleId="Heading4">
    <w:name w:val="heading 4"/>
    <w:basedOn w:val="Normal"/>
    <w:next w:val="BodyText"/>
    <w:qFormat/>
    <w:pPr>
      <w:numPr>
        <w:ilvl w:val="3"/>
        <w:numId w:val="1"/>
      </w:numPr>
      <w:outlineLvl w:val="3"/>
    </w:pPr>
    <w:rPr/>
  </w:style>
  <w:style w:type="paragraph" w:styleId="Heading5">
    <w:name w:val="heading 5"/>
    <w:basedOn w:val="Normal"/>
    <w:next w:val="BodyText"/>
    <w:qFormat/>
    <w:pPr>
      <w:numPr>
        <w:ilvl w:val="4"/>
        <w:numId w:val="1"/>
      </w:numPr>
      <w:outlineLvl w:val="4"/>
    </w:pPr>
    <w:rPr/>
  </w:style>
  <w:style w:type="paragraph" w:styleId="Heading6">
    <w:name w:val="heading 6"/>
    <w:basedOn w:val="Normal"/>
    <w:next w:val="BodyText"/>
    <w:qFormat/>
    <w:pPr>
      <w:numPr>
        <w:ilvl w:val="5"/>
        <w:numId w:val="1"/>
      </w:numPr>
      <w:outlineLvl w:val="5"/>
    </w:pPr>
    <w:rPr/>
  </w:style>
  <w:style w:type="paragraph" w:styleId="Heading7">
    <w:name w:val="heading 7"/>
    <w:basedOn w:val="Normal"/>
    <w:next w:val="Normal"/>
    <w:qFormat/>
    <w:pPr>
      <w:numPr>
        <w:ilvl w:val="0"/>
        <w:numId w:val="17"/>
      </w:numPr>
      <w:spacing w:before="240" w:after="60"/>
      <w:outlineLvl w:val="6"/>
    </w:pPr>
    <w:rPr/>
  </w:style>
  <w:style w:type="paragraph" w:styleId="Heading8">
    <w:name w:val="heading 8"/>
    <w:basedOn w:val="Normal"/>
    <w:next w:val="Normal"/>
    <w:qFormat/>
    <w:pPr>
      <w:numPr>
        <w:ilvl w:val="0"/>
        <w:numId w:val="17"/>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1z3">
    <w:name w:val="WW8Num11z3"/>
    <w:qFormat/>
    <w:rPr>
      <w:b w:val="false"/>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sz w:val="16"/>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sz w:val="16"/>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z w:val="16"/>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CG Times" w:hAnsi="CG Times" w:cs="CG Times"/>
      <w:b/>
      <w:sz w:val="21"/>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Times New Roman" w:hAnsi="Times New Roman" w:cs="Times New Roman"/>
    </w:rPr>
  </w:style>
  <w:style w:type="character" w:styleId="WW8Num40z0">
    <w:name w:val="WW8Num40z0"/>
    <w:qFormat/>
    <w:rPr>
      <w:rFonts w:ascii="Symbol" w:hAnsi="Symbol" w:cs="Symbol"/>
    </w:rPr>
  </w:style>
  <w:style w:type="character" w:styleId="WW8Num41z0">
    <w:name w:val="WW8Num41z0"/>
    <w:qFormat/>
    <w:rPr>
      <w:rFonts w:ascii="Wingdings" w:hAnsi="Wingdings" w:cs="Wingdings"/>
      <w:sz w:val="16"/>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Wingdings" w:hAnsi="Wingdings" w:cs="Wingdings"/>
      <w:sz w:val="16"/>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Wingdings" w:hAnsi="Wingdings" w:cs="Wingdings"/>
      <w:sz w:val="16"/>
    </w:rPr>
  </w:style>
  <w:style w:type="character" w:styleId="WW8Num51z0">
    <w:name w:val="WW8Num51z0"/>
    <w:qFormat/>
    <w:rPr>
      <w:rFonts w:ascii="Wingdings" w:hAnsi="Wingdings" w:cs="Wingdings"/>
      <w:sz w:val="16"/>
    </w:rPr>
  </w:style>
  <w:style w:type="character" w:styleId="WW8Num52z0">
    <w:name w:val="WW8Num52z0"/>
    <w:qFormat/>
    <w:rPr>
      <w:rFonts w:ascii="Symbol" w:hAnsi="Symbol" w:cs="Symbol"/>
    </w:rPr>
  </w:style>
  <w:style w:type="character" w:styleId="WW8Num53z0">
    <w:name w:val="WW8Num53z0"/>
    <w:qFormat/>
    <w:rPr>
      <w:rFonts w:ascii="Times New Roman" w:hAnsi="Times New Roman" w:cs="Times New Roman"/>
    </w:rPr>
  </w:style>
  <w:style w:type="character" w:styleId="WW8Num54z0">
    <w:name w:val="WW8Num54z0"/>
    <w:qFormat/>
    <w:rPr>
      <w:rFonts w:ascii="Wingdings" w:hAnsi="Wingdings" w:cs="Wingdings"/>
      <w:sz w:val="16"/>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7z0">
    <w:name w:val="WW8Num57z0"/>
    <w:qFormat/>
    <w:rPr>
      <w:rFonts w:ascii="Times New Roman" w:hAnsi="Times New Roman" w:cs="Times New Roman"/>
    </w:rPr>
  </w:style>
  <w:style w:type="character" w:styleId="WW8Num58z0">
    <w:name w:val="WW8Num58z0"/>
    <w:qFormat/>
    <w:rPr>
      <w:sz w:val="16"/>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8z3">
    <w:name w:val="WW8Num58z3"/>
    <w:qFormat/>
    <w:rPr>
      <w:rFonts w:ascii="Symbol" w:hAnsi="Symbol" w:cs="Symbol"/>
    </w:rPr>
  </w:style>
  <w:style w:type="character" w:styleId="WW8Num59z0">
    <w:name w:val="WW8Num59z0"/>
    <w:qFormat/>
    <w:rPr>
      <w:rFonts w:ascii="Wingdings" w:hAnsi="Wingdings" w:cs="Wingdings"/>
      <w:sz w:val="16"/>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Wingdings" w:hAnsi="Wingdings" w:cs="Wingdings"/>
      <w:sz w:val="16"/>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Wingdings" w:hAnsi="Wingdings" w:cs="Wingdings"/>
      <w:sz w:val="16"/>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Wingdings" w:hAnsi="Wingdings" w:cs="Wingdings"/>
      <w:sz w:val="16"/>
    </w:rPr>
  </w:style>
  <w:style w:type="character" w:styleId="WW8Num76z0">
    <w:name w:val="WW8Num76z0"/>
    <w:qFormat/>
    <w:rPr>
      <w:rFonts w:ascii="Times New Roman" w:hAnsi="Times New Roman" w:cs="Times New Roman"/>
    </w:rPr>
  </w:style>
  <w:style w:type="character" w:styleId="WW8Num77z0">
    <w:name w:val="WW8Num77z0"/>
    <w:qFormat/>
    <w:rPr>
      <w:rFonts w:ascii="Times New Roman" w:hAnsi="Times New Roman" w:cs="Times New Roman"/>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Wingdings" w:hAnsi="Wingdings" w:cs="Wingdings"/>
      <w:sz w:val="16"/>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color w:val="auto"/>
    </w:rPr>
  </w:style>
  <w:style w:type="character" w:styleId="WW8Num87z0">
    <w:name w:val="WW8Num87z0"/>
    <w:qFormat/>
    <w:rPr>
      <w:rFonts w:ascii="Times New Roman" w:hAnsi="Times New Roman" w:cs="Times New Roman"/>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b w:val="false"/>
      <w:i w:val="false"/>
    </w:rPr>
  </w:style>
  <w:style w:type="character" w:styleId="WW8Num91z0">
    <w:name w:val="WW8Num91z0"/>
    <w:qFormat/>
    <w:rPr>
      <w:rFonts w:ascii="Symbol" w:hAnsi="Symbol" w:cs="Symbol"/>
    </w:rPr>
  </w:style>
  <w:style w:type="character" w:styleId="WW8Num93z0">
    <w:name w:val="WW8Num93z0"/>
    <w:qFormat/>
    <w:rPr>
      <w:rFonts w:ascii="Wingdings" w:hAnsi="Wingdings" w:cs="Wingdings"/>
      <w:sz w:val="16"/>
    </w:rPr>
  </w:style>
  <w:style w:type="character" w:styleId="WW8Num94z0">
    <w:name w:val="WW8Num94z0"/>
    <w:qFormat/>
    <w:rPr>
      <w:rFonts w:ascii="Times New Roman" w:hAnsi="Times New Roman" w:cs="Times New Roman"/>
    </w:rPr>
  </w:style>
  <w:style w:type="character" w:styleId="WW8Num95z0">
    <w:name w:val="WW8Num95z0"/>
    <w:qFormat/>
    <w:rPr>
      <w:rFonts w:ascii="Wingdings" w:hAnsi="Wingdings" w:cs="Wingdings"/>
      <w:sz w:val="16"/>
    </w:rPr>
  </w:style>
  <w:style w:type="character" w:styleId="WW8Num96z0">
    <w:name w:val="WW8Num96z0"/>
    <w:qFormat/>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Times New Roman" w:hAnsi="Times New Roman" w:cs="Times New Roman"/>
    </w:rPr>
  </w:style>
  <w:style w:type="character" w:styleId="WW8Num101z0">
    <w:name w:val="WW8Num101z0"/>
    <w:qFormat/>
    <w:rPr>
      <w:rFonts w:ascii="Times New Roman" w:hAnsi="Times New Roman" w:cs="Times New Roman"/>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Wingdings" w:hAnsi="Wingdings" w:cs="Wingdings"/>
      <w:sz w:val="16"/>
    </w:rPr>
  </w:style>
  <w:style w:type="character" w:styleId="WW8Num107z0">
    <w:name w:val="WW8Num107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Wingdings" w:hAnsi="Wingdings" w:cs="Wingdings"/>
      <w:sz w:val="16"/>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Wingdings" w:hAnsi="Wingdings" w:cs="Wingdings"/>
      <w:sz w:val="16"/>
    </w:rPr>
  </w:style>
  <w:style w:type="character" w:styleId="WW8Num118z0">
    <w:name w:val="WW8Num118z0"/>
    <w:qFormat/>
    <w:rPr>
      <w:rFonts w:ascii="Times New Roman" w:hAnsi="Times New Roman" w:cs="Times New Roman"/>
    </w:rPr>
  </w:style>
  <w:style w:type="character" w:styleId="WW8Num119z0">
    <w:name w:val="WW8Num119z0"/>
    <w:qFormat/>
    <w:rPr>
      <w:rFonts w:ascii="Wingdings" w:hAnsi="Wingdings" w:cs="Wingdings"/>
      <w:sz w:val="16"/>
    </w:rPr>
  </w:style>
  <w:style w:type="character" w:styleId="WW8Num120z0">
    <w:name w:val="WW8Num120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Times New Roman" w:hAnsi="Times New Roman" w:cs="Times New Roman"/>
    </w:rPr>
  </w:style>
  <w:style w:type="character" w:styleId="WW8Num124z0">
    <w:name w:val="WW8Num124z0"/>
    <w:qFormat/>
    <w:rPr>
      <w:rFonts w:ascii="Wingdings" w:hAnsi="Wingdings" w:cs="Wingdings"/>
      <w:sz w:val="16"/>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Wingdings" w:hAnsi="Wingdings" w:cs="Wingdings"/>
      <w:sz w:val="16"/>
    </w:rPr>
  </w:style>
  <w:style w:type="character" w:styleId="WW8Num131z0">
    <w:name w:val="WW8Num131z0"/>
    <w:qFormat/>
    <w:rPr>
      <w:rFonts w:ascii="Symbol" w:hAnsi="Symbol" w:cs="Symbol"/>
    </w:rPr>
  </w:style>
  <w:style w:type="character" w:styleId="WW8Num132z0">
    <w:name w:val="WW8Num132z0"/>
    <w:qFormat/>
    <w:rPr>
      <w:rFonts w:ascii="CG Times" w:hAnsi="CG Times" w:cs="CG Times"/>
      <w:b w:val="false"/>
      <w:i w:val="false"/>
      <w:sz w:val="20"/>
    </w:rPr>
  </w:style>
  <w:style w:type="character" w:styleId="WW8Num132z1">
    <w:name w:val="WW8Num132z1"/>
    <w:qFormat/>
    <w:rPr>
      <w:b w:val="false"/>
      <w:i w:val="false"/>
      <w:sz w:val="20"/>
    </w:rPr>
  </w:style>
  <w:style w:type="character" w:styleId="WW8Num132z4">
    <w:name w:val="WW8Num132z4"/>
    <w:qFormat/>
    <w:rPr>
      <w:b w:val="false"/>
      <w:i w:val="false"/>
      <w:sz w:val="18"/>
    </w:rPr>
  </w:style>
  <w:style w:type="character" w:styleId="WW8Num132z8">
    <w:name w:val="WW8Num132z8"/>
    <w:qFormat/>
    <w:rPr>
      <w:b/>
      <w:i w:val="false"/>
      <w:caps/>
      <w:sz w:val="22"/>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Times New Roman" w:hAnsi="Times New Roman" w:cs="Times New Roman"/>
    </w:rPr>
  </w:style>
  <w:style w:type="character" w:styleId="WW8Num136z0">
    <w:name w:val="WW8Num136z0"/>
    <w:qFormat/>
    <w:rPr>
      <w:b/>
    </w:rPr>
  </w:style>
  <w:style w:type="character" w:styleId="WW8Num137z0">
    <w:name w:val="WW8Num137z0"/>
    <w:qFormat/>
    <w:rPr>
      <w:rFonts w:ascii="Wingdings" w:hAnsi="Wingdings" w:cs="Wingdings"/>
    </w:rPr>
  </w:style>
  <w:style w:type="character" w:styleId="WW8Num137z1">
    <w:name w:val="WW8Num137z1"/>
    <w:qFormat/>
    <w:rPr>
      <w:rFonts w:ascii="Courier New" w:hAnsi="Courier New" w:cs="Courier New"/>
    </w:rPr>
  </w:style>
  <w:style w:type="character" w:styleId="WW8Num137z3">
    <w:name w:val="WW8Num137z3"/>
    <w:qFormat/>
    <w:rPr>
      <w:rFonts w:ascii="Symbol" w:hAnsi="Symbol" w:cs="Symbol"/>
    </w:rPr>
  </w:style>
  <w:style w:type="character" w:styleId="WW8Num138z0">
    <w:name w:val="WW8Num138z0"/>
    <w:qFormat/>
    <w:rPr>
      <w:rFonts w:ascii="Wingdings" w:hAnsi="Wingdings" w:cs="Wingdings"/>
      <w:sz w:val="16"/>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color w:val="auto"/>
    </w:rPr>
  </w:style>
  <w:style w:type="character" w:styleId="WW8Num142z0">
    <w:name w:val="WW8Num142z0"/>
    <w:qFormat/>
    <w:rPr>
      <w:rFonts w:ascii="Symbol" w:hAnsi="Symbol" w:cs="Symbol"/>
    </w:rPr>
  </w:style>
  <w:style w:type="character" w:styleId="WW8Num144z0">
    <w:name w:val="WW8Num144z0"/>
    <w:qFormat/>
    <w:rPr>
      <w:rFonts w:ascii="Wingdings" w:hAnsi="Wingdings" w:cs="Wingdings"/>
      <w:sz w:val="16"/>
    </w:rPr>
  </w:style>
  <w:style w:type="character" w:styleId="WW8Num146z0">
    <w:name w:val="WW8Num146z0"/>
    <w:qFormat/>
    <w:rPr>
      <w:rFonts w:ascii="Wingdings" w:hAnsi="Wingdings" w:cs="Wingdings"/>
      <w:sz w:val="16"/>
    </w:rPr>
  </w:style>
  <w:style w:type="character" w:styleId="WW8Num147z0">
    <w:name w:val="WW8Num147z0"/>
    <w:qFormat/>
    <w:rPr>
      <w:b w:val="false"/>
      <w:i w:val="false"/>
    </w:rPr>
  </w:style>
  <w:style w:type="character" w:styleId="WW8Num148z0">
    <w:name w:val="WW8Num148z0"/>
    <w:qFormat/>
    <w:rPr>
      <w:rFonts w:ascii="Symbol" w:hAnsi="Symbol" w:cs="Symbol"/>
    </w:rPr>
  </w:style>
  <w:style w:type="character" w:styleId="WW8Num149z0">
    <w:name w:val="WW8Num149z0"/>
    <w:qFormat/>
    <w:rPr>
      <w:rFonts w:ascii="Times New Roman" w:hAnsi="Times New Roman" w:cs="Times New Roman"/>
    </w:rPr>
  </w:style>
  <w:style w:type="character" w:styleId="WW8Num150z0">
    <w:name w:val="WW8Num150z0"/>
    <w:qFormat/>
    <w:rPr>
      <w:u w:val="none"/>
    </w:rPr>
  </w:style>
  <w:style w:type="character" w:styleId="WW8Num150z3">
    <w:name w:val="WW8Num150z3"/>
    <w:qFormat/>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Wingdings" w:hAnsi="Wingdings" w:cs="Wingdings"/>
      <w:sz w:val="16"/>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Wingdings" w:hAnsi="Wingdings" w:cs="Wingdings"/>
    </w:rPr>
  </w:style>
  <w:style w:type="character" w:styleId="WW8Num159z1">
    <w:name w:val="WW8Num159z1"/>
    <w:qFormat/>
    <w:rPr>
      <w:rFonts w:ascii="Courier New" w:hAnsi="Courier New" w:cs="Courier New"/>
    </w:rPr>
  </w:style>
  <w:style w:type="character" w:styleId="WW8Num159z3">
    <w:name w:val="WW8Num159z3"/>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Wingdings" w:hAnsi="Wingdings" w:cs="Wingdings"/>
      <w:sz w:val="16"/>
    </w:rPr>
  </w:style>
  <w:style w:type="character" w:styleId="WW8Num165z0">
    <w:name w:val="WW8Num165z0"/>
    <w:qFormat/>
    <w:rPr>
      <w:rFonts w:ascii="Symbol" w:hAnsi="Symbol" w:cs="Symbol"/>
    </w:rPr>
  </w:style>
  <w:style w:type="character" w:styleId="WW8Num166z0">
    <w:name w:val="WW8Num166z0"/>
    <w:qFormat/>
    <w:rPr>
      <w:rFonts w:ascii="Times New Roman" w:hAnsi="Times New Roman" w:cs="Times New Roman"/>
    </w:rPr>
  </w:style>
  <w:style w:type="character" w:styleId="WW8Num167z0">
    <w:name w:val="WW8Num167z0"/>
    <w:qFormat/>
    <w:rPr>
      <w:rFonts w:ascii="CG Times" w:hAnsi="CG Times" w:cs="CG Times"/>
      <w:b w:val="false"/>
      <w:i w:val="false"/>
      <w:sz w:val="20"/>
    </w:rPr>
  </w:style>
  <w:style w:type="character" w:styleId="WW8Num167z1">
    <w:name w:val="WW8Num167z1"/>
    <w:qFormat/>
    <w:rPr>
      <w:b w:val="false"/>
      <w:i w:val="false"/>
      <w:sz w:val="20"/>
    </w:rPr>
  </w:style>
  <w:style w:type="character" w:styleId="WW8Num167z4">
    <w:name w:val="WW8Num167z4"/>
    <w:qFormat/>
    <w:rPr>
      <w:b w:val="false"/>
      <w:i w:val="false"/>
      <w:sz w:val="18"/>
    </w:rPr>
  </w:style>
  <w:style w:type="character" w:styleId="WW8Num167z8">
    <w:name w:val="WW8Num167z8"/>
    <w:qFormat/>
    <w:rPr>
      <w:b/>
      <w:i w:val="false"/>
      <w:caps/>
      <w:sz w:val="22"/>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Wingdings" w:hAnsi="Wingdings" w:cs="Wingdings"/>
      <w:sz w:val="16"/>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Times New Roman" w:hAnsi="Times New Roman" w:cs="Times New Roman"/>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Times New Roman" w:hAnsi="Times New Roman" w:cs="Times New Roman"/>
    </w:rPr>
  </w:style>
  <w:style w:type="character" w:styleId="WW8Num178z0">
    <w:name w:val="WW8Num178z0"/>
    <w:qFormat/>
    <w:rPr>
      <w:rFonts w:ascii="CG Times" w:hAnsi="CG Times" w:cs="CG Times"/>
      <w:b w:val="false"/>
      <w:i w:val="false"/>
      <w:sz w:val="20"/>
    </w:rPr>
  </w:style>
  <w:style w:type="character" w:styleId="WW8Num178z1">
    <w:name w:val="WW8Num178z1"/>
    <w:qFormat/>
    <w:rPr>
      <w:b w:val="false"/>
      <w:i w:val="false"/>
      <w:sz w:val="20"/>
    </w:rPr>
  </w:style>
  <w:style w:type="character" w:styleId="WW8Num178z2">
    <w:name w:val="WW8Num178z2"/>
    <w:qFormat/>
    <w:rPr>
      <w:b w:val="false"/>
      <w:i w:val="false"/>
      <w:sz w:val="18"/>
    </w:rPr>
  </w:style>
  <w:style w:type="character" w:styleId="WW8Num178z8">
    <w:name w:val="WW8Num178z8"/>
    <w:qFormat/>
    <w:rPr>
      <w:b/>
      <w:i w:val="false"/>
      <w:caps/>
      <w:sz w:val="22"/>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Wingdings" w:hAnsi="Wingdings" w:cs="Wingdings"/>
      <w:sz w:val="16"/>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Times New Roman" w:hAnsi="Times New Roman" w:cs="Times New Roman"/>
      <w:b/>
      <w:i w:val="false"/>
      <w:sz w:val="22"/>
    </w:rPr>
  </w:style>
  <w:style w:type="character" w:styleId="WW8Num188z1">
    <w:name w:val="WW8Num188z1"/>
    <w:qFormat/>
    <w:rPr>
      <w:sz w:val="22"/>
    </w:rPr>
  </w:style>
  <w:style w:type="character" w:styleId="WW8Num188z2">
    <w:name w:val="WW8Num188z2"/>
    <w:qFormat/>
    <w:rPr>
      <w:rFonts w:ascii="Times New Roman" w:hAnsi="Times New Roman" w:cs="Times New Roman"/>
      <w:sz w:val="22"/>
    </w:rPr>
  </w:style>
  <w:style w:type="character" w:styleId="WW8Num189z0">
    <w:name w:val="WW8Num189z0"/>
    <w:qFormat/>
    <w:rPr>
      <w:b w:val="false"/>
      <w:i w:val="false"/>
    </w:rPr>
  </w:style>
  <w:style w:type="character" w:styleId="WW8Num191z0">
    <w:name w:val="WW8Num191z0"/>
    <w:qFormat/>
    <w:rPr>
      <w:rFonts w:ascii="Symbol" w:hAnsi="Symbol" w:cs="Symbol"/>
    </w:rPr>
  </w:style>
  <w:style w:type="character" w:styleId="WW8Num192z0">
    <w:name w:val="WW8Num192z0"/>
    <w:qFormat/>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Wingdings" w:hAnsi="Wingdings" w:cs="Wingdings"/>
      <w:sz w:val="16"/>
    </w:rPr>
  </w:style>
  <w:style w:type="character" w:styleId="WW8Num197z0">
    <w:name w:val="WW8Num197z0"/>
    <w:qFormat/>
    <w:rPr>
      <w:rFonts w:ascii="Wingdings" w:hAnsi="Wingdings" w:cs="Wingdings"/>
      <w:sz w:val="16"/>
    </w:rPr>
  </w:style>
  <w:style w:type="character" w:styleId="WW8Num199z0">
    <w:name w:val="WW8Num199z0"/>
    <w:qFormat/>
    <w:rPr>
      <w:rFonts w:ascii="Symbol" w:hAnsi="Symbol" w:cs="Symbol"/>
    </w:rPr>
  </w:style>
  <w:style w:type="character" w:styleId="WW8Num200z0">
    <w:name w:val="WW8Num200z0"/>
    <w:qFormat/>
    <w:rPr>
      <w:rFonts w:ascii="CG Times" w:hAnsi="CG Times" w:cs="CG Times"/>
      <w:b w:val="false"/>
      <w:i w:val="false"/>
      <w:sz w:val="18"/>
    </w:rPr>
  </w:style>
  <w:style w:type="character" w:styleId="WW8Num200z1">
    <w:name w:val="WW8Num200z1"/>
    <w:qFormat/>
    <w:rPr>
      <w:b w:val="false"/>
      <w:i w:val="false"/>
      <w:sz w:val="18"/>
    </w:rPr>
  </w:style>
  <w:style w:type="character" w:styleId="WW8Num200z3">
    <w:name w:val="WW8Num200z3"/>
    <w:qFormat/>
    <w:rPr>
      <w:b w:val="false"/>
      <w:i w:val="false"/>
      <w:sz w:val="20"/>
    </w:rPr>
  </w:style>
  <w:style w:type="character" w:styleId="WW8Num200z8">
    <w:name w:val="WW8Num200z8"/>
    <w:qFormat/>
    <w:rPr>
      <w:b/>
      <w:i w:val="false"/>
      <w:caps/>
      <w:sz w:val="22"/>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b/>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color w:val="auto"/>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4z1">
    <w:name w:val="WW8Num214z1"/>
    <w:qFormat/>
    <w:rPr>
      <w:rFonts w:ascii="Courier New" w:hAnsi="Courier New" w:cs="Courier New"/>
    </w:rPr>
  </w:style>
  <w:style w:type="character" w:styleId="WW8Num214z2">
    <w:name w:val="WW8Num214z2"/>
    <w:qFormat/>
    <w:rPr>
      <w:rFonts w:ascii="Wingdings" w:hAnsi="Wingdings" w:cs="Wingdings"/>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b w:val="false"/>
      <w:i w:val="false"/>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Times New Roman" w:hAnsi="Times New Roman" w:cs="Times New Roman"/>
    </w:rPr>
  </w:style>
  <w:style w:type="character" w:styleId="WW8Num221z0">
    <w:name w:val="WW8Num221z0"/>
    <w:qFormat/>
    <w:rPr>
      <w:rFonts w:ascii="Wingdings" w:hAnsi="Wingdings" w:cs="Wingdings"/>
    </w:rPr>
  </w:style>
  <w:style w:type="character" w:styleId="WW8Num221z1">
    <w:name w:val="WW8Num221z1"/>
    <w:qFormat/>
    <w:rPr>
      <w:rFonts w:ascii="Courier New" w:hAnsi="Courier New" w:cs="Courier New"/>
    </w:rPr>
  </w:style>
  <w:style w:type="character" w:styleId="WW8Num221z3">
    <w:name w:val="WW8Num221z3"/>
    <w:qFormat/>
    <w:rPr>
      <w:rFonts w:ascii="Symbol" w:hAnsi="Symbol" w:cs="Symbol"/>
    </w:rPr>
  </w:style>
  <w:style w:type="character" w:styleId="WW8Num222z0">
    <w:name w:val="WW8Num222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Wingdings" w:hAnsi="Wingdings" w:cs="Wingdings"/>
    </w:rPr>
  </w:style>
  <w:style w:type="character" w:styleId="WW8Num226z0">
    <w:name w:val="WW8Num226z0"/>
    <w:qFormat/>
    <w:rPr>
      <w:rFonts w:ascii="Times New Roman" w:hAnsi="Times New Roman" w:cs="Times New Roman"/>
    </w:rPr>
  </w:style>
  <w:style w:type="character" w:styleId="WW8Num227z0">
    <w:name w:val="WW8Num227z0"/>
    <w:qFormat/>
    <w:rPr>
      <w:rFonts w:ascii="Times New Roman" w:hAnsi="Times New Roman" w:cs="Times New Roman"/>
    </w:rPr>
  </w:style>
  <w:style w:type="character" w:styleId="WW8Num228z0">
    <w:name w:val="WW8Num228z0"/>
    <w:qFormat/>
    <w:rPr>
      <w:b w:val="false"/>
      <w:i w:val="false"/>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Wingdings" w:hAnsi="Wingdings" w:cs="Wingdings"/>
    </w:rPr>
  </w:style>
  <w:style w:type="character" w:styleId="WW8Num231z1">
    <w:name w:val="WW8Num231z1"/>
    <w:qFormat/>
    <w:rPr>
      <w:rFonts w:ascii="Courier New" w:hAnsi="Courier New" w:cs="Courier New"/>
    </w:rPr>
  </w:style>
  <w:style w:type="character" w:styleId="WW8Num231z3">
    <w:name w:val="WW8Num231z3"/>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Times New Roman" w:hAnsi="Times New Roman" w:cs="Times New Roman"/>
    </w:rPr>
  </w:style>
  <w:style w:type="character" w:styleId="WW8Num241z0">
    <w:name w:val="WW8Num241z0"/>
    <w:qFormat/>
    <w:rPr>
      <w:b w:val="false"/>
      <w:i w:val="false"/>
    </w:rPr>
  </w:style>
  <w:style w:type="character" w:styleId="WW8Num242z0">
    <w:name w:val="WW8Num242z0"/>
    <w:qFormat/>
    <w:rPr>
      <w:rFonts w:ascii="Symbol" w:hAnsi="Symbol" w:cs="Symbol"/>
    </w:rPr>
  </w:style>
  <w:style w:type="character" w:styleId="WW8Num243z0">
    <w:name w:val="WW8Num243z0"/>
    <w:qFormat/>
    <w:rPr>
      <w:rFonts w:ascii="Wingdings" w:hAnsi="Wingdings" w:cs="Wingdings"/>
      <w:sz w:val="16"/>
    </w:rPr>
  </w:style>
  <w:style w:type="character" w:styleId="WW8Num244z0">
    <w:name w:val="WW8Num244z0"/>
    <w:qFormat/>
    <w:rPr>
      <w:rFonts w:ascii="Wingdings" w:hAnsi="Wingdings" w:cs="Wingdings"/>
      <w:sz w:val="16"/>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CG Times" w:hAnsi="CG Times" w:cs="CG Times"/>
      <w:b w:val="false"/>
      <w:i w:val="false"/>
      <w:sz w:val="20"/>
    </w:rPr>
  </w:style>
  <w:style w:type="character" w:styleId="WW8Num248z1">
    <w:name w:val="WW8Num248z1"/>
    <w:qFormat/>
    <w:rPr>
      <w:b w:val="false"/>
      <w:i w:val="false"/>
      <w:sz w:val="20"/>
    </w:rPr>
  </w:style>
  <w:style w:type="character" w:styleId="WW8Num248z2">
    <w:name w:val="WW8Num248z2"/>
    <w:qFormat/>
    <w:rPr>
      <w:b w:val="false"/>
      <w:i w:val="false"/>
      <w:sz w:val="18"/>
    </w:rPr>
  </w:style>
  <w:style w:type="character" w:styleId="WW8Num248z8">
    <w:name w:val="WW8Num248z8"/>
    <w:qFormat/>
    <w:rPr>
      <w:b/>
      <w:i w:val="false"/>
      <w:caps/>
      <w:sz w:val="22"/>
    </w:rPr>
  </w:style>
  <w:style w:type="character" w:styleId="WW8Num249z0">
    <w:name w:val="WW8Num249z0"/>
    <w:qFormat/>
    <w:rPr>
      <w:rFonts w:ascii="Wingdings" w:hAnsi="Wingdings" w:cs="Wingdings"/>
      <w:sz w:val="16"/>
    </w:rPr>
  </w:style>
  <w:style w:type="character" w:styleId="WW8Num250z0">
    <w:name w:val="WW8Num250z0"/>
    <w:qFormat/>
    <w:rPr>
      <w:rFonts w:ascii="Wingdings" w:hAnsi="Wingdings" w:cs="Wingdings"/>
    </w:rPr>
  </w:style>
  <w:style w:type="character" w:styleId="WW8Num250z1">
    <w:name w:val="WW8Num250z1"/>
    <w:qFormat/>
    <w:rPr>
      <w:rFonts w:ascii="Courier New" w:hAnsi="Courier New" w:cs="Courier New"/>
    </w:rPr>
  </w:style>
  <w:style w:type="character" w:styleId="WW8Num250z3">
    <w:name w:val="WW8Num250z3"/>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Wingdings" w:hAnsi="Wingdings" w:cs="Wingdings"/>
      <w:sz w:val="16"/>
    </w:rPr>
  </w:style>
  <w:style w:type="character" w:styleId="WW8Num253z0">
    <w:name w:val="WW8Num253z0"/>
    <w:qFormat/>
    <w:rPr>
      <w:rFonts w:ascii="Symbol" w:hAnsi="Symbol" w:cs="Symbol"/>
    </w:rPr>
  </w:style>
  <w:style w:type="character" w:styleId="WW8Num254z0">
    <w:name w:val="WW8Num254z0"/>
    <w:qFormat/>
    <w:rPr>
      <w:b w:val="false"/>
      <w:i w:val="false"/>
    </w:rPr>
  </w:style>
  <w:style w:type="character" w:styleId="WW8Num255z0">
    <w:name w:val="WW8Num255z0"/>
    <w:qFormat/>
    <w:rPr>
      <w:rFonts w:ascii="Wingdings" w:hAnsi="Wingdings" w:cs="Wingdings"/>
      <w:sz w:val="16"/>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Wingdings" w:hAnsi="Wingdings" w:cs="Wingdings"/>
    </w:rPr>
  </w:style>
  <w:style w:type="character" w:styleId="WW8Num258z1">
    <w:name w:val="WW8Num258z1"/>
    <w:qFormat/>
    <w:rPr>
      <w:rFonts w:ascii="Courier New" w:hAnsi="Courier New" w:cs="Courier New"/>
    </w:rPr>
  </w:style>
  <w:style w:type="character" w:styleId="WW8Num258z3">
    <w:name w:val="WW8Num258z3"/>
    <w:qFormat/>
    <w:rPr>
      <w:rFonts w:ascii="Symbol" w:hAnsi="Symbol" w:cs="Symbol"/>
    </w:rPr>
  </w:style>
  <w:style w:type="character" w:styleId="WW8Num259z0">
    <w:name w:val="WW8Num259z0"/>
    <w:qFormat/>
    <w:rPr>
      <w:rFonts w:ascii="Wingdings" w:hAnsi="Wingdings" w:cs="Wingdings"/>
    </w:rPr>
  </w:style>
  <w:style w:type="character" w:styleId="WW8Num259z1">
    <w:name w:val="WW8Num259z1"/>
    <w:qFormat/>
    <w:rPr>
      <w:rFonts w:ascii="Courier New" w:hAnsi="Courier New" w:cs="Courier New"/>
    </w:rPr>
  </w:style>
  <w:style w:type="character" w:styleId="WW8Num259z3">
    <w:name w:val="WW8Num259z3"/>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Wingdings" w:hAnsi="Wingdings" w:cs="Wingdings"/>
      <w:sz w:val="16"/>
    </w:rPr>
  </w:style>
  <w:style w:type="character" w:styleId="WW8Num264z0">
    <w:name w:val="WW8Num264z0"/>
    <w:qFormat/>
    <w:rPr/>
  </w:style>
  <w:style w:type="character" w:styleId="WW8Num265z0">
    <w:name w:val="WW8Num265z0"/>
    <w:qFormat/>
    <w:rPr>
      <w:rFonts w:ascii="CG Times" w:hAnsi="CG Times" w:cs="CG Times"/>
      <w:b w:val="false"/>
      <w:i w:val="false"/>
      <w:sz w:val="20"/>
    </w:rPr>
  </w:style>
  <w:style w:type="character" w:styleId="WW8Num265z1">
    <w:name w:val="WW8Num265z1"/>
    <w:qFormat/>
    <w:rPr>
      <w:b w:val="false"/>
      <w:i w:val="false"/>
      <w:sz w:val="20"/>
    </w:rPr>
  </w:style>
  <w:style w:type="character" w:styleId="WW8Num265z2">
    <w:name w:val="WW8Num265z2"/>
    <w:qFormat/>
    <w:rPr>
      <w:b w:val="false"/>
      <w:i w:val="false"/>
      <w:sz w:val="18"/>
    </w:rPr>
  </w:style>
  <w:style w:type="character" w:styleId="WW8Num265z8">
    <w:name w:val="WW8Num265z8"/>
    <w:qFormat/>
    <w:rPr>
      <w:b/>
      <w:i w:val="false"/>
      <w:caps/>
      <w:sz w:val="22"/>
    </w:rPr>
  </w:style>
  <w:style w:type="character" w:styleId="WW8Num266z0">
    <w:name w:val="WW8Num266z0"/>
    <w:qFormat/>
    <w:rPr>
      <w:rFonts w:ascii="Symbol" w:hAnsi="Symbol" w:cs="Symbol"/>
      <w:color w:val="auto"/>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Times New Roman" w:hAnsi="Times New Roman" w:cs="Times New Roman"/>
    </w:rPr>
  </w:style>
  <w:style w:type="character" w:styleId="WW8Num276z0">
    <w:name w:val="WW8Num276z0"/>
    <w:qFormat/>
    <w:rPr>
      <w:rFonts w:ascii="Wingdings" w:hAnsi="Wingdings" w:cs="Wingdings"/>
      <w:sz w:val="16"/>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Wingdings" w:hAnsi="Wingdings" w:cs="Wingdings"/>
      <w:sz w:val="16"/>
    </w:rPr>
  </w:style>
  <w:style w:type="character" w:styleId="WW8Num284z0">
    <w:name w:val="WW8Num284z0"/>
    <w:qFormat/>
    <w:rPr>
      <w:rFonts w:ascii="CG Times" w:hAnsi="CG Times" w:cs="CG Times"/>
      <w:b w:val="false"/>
      <w:i w:val="false"/>
      <w:sz w:val="20"/>
    </w:rPr>
  </w:style>
  <w:style w:type="character" w:styleId="WW8Num284z1">
    <w:name w:val="WW8Num284z1"/>
    <w:qFormat/>
    <w:rPr>
      <w:b w:val="false"/>
      <w:i w:val="false"/>
      <w:sz w:val="20"/>
    </w:rPr>
  </w:style>
  <w:style w:type="character" w:styleId="WW8Num284z4">
    <w:name w:val="WW8Num284z4"/>
    <w:qFormat/>
    <w:rPr>
      <w:b w:val="false"/>
      <w:i w:val="false"/>
      <w:sz w:val="18"/>
    </w:rPr>
  </w:style>
  <w:style w:type="character" w:styleId="WW8Num284z8">
    <w:name w:val="WW8Num284z8"/>
    <w:qFormat/>
    <w:rPr>
      <w:b/>
      <w:i w:val="false"/>
      <w:caps/>
      <w:sz w:val="22"/>
    </w:rPr>
  </w:style>
  <w:style w:type="character" w:styleId="WW8Num285z0">
    <w:name w:val="WW8Num285z0"/>
    <w:qFormat/>
    <w:rPr>
      <w:rFonts w:ascii="Symbol" w:hAnsi="Symbol" w:cs="Symbol"/>
    </w:rPr>
  </w:style>
  <w:style w:type="character" w:styleId="WW8Num286z0">
    <w:name w:val="WW8Num286z0"/>
    <w:qFormat/>
    <w:rPr>
      <w:rFonts w:ascii="Wingdings" w:hAnsi="Wingdings" w:cs="Wingdings"/>
      <w:sz w:val="16"/>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Times New Roman" w:hAnsi="Times New Roman" w:cs="Times New Roman"/>
    </w:rPr>
  </w:style>
  <w:style w:type="character" w:styleId="WW8Num294z0">
    <w:name w:val="WW8Num294z0"/>
    <w:qFormat/>
    <w:rPr>
      <w:rFonts w:ascii="Times New Roman" w:hAnsi="Times New Roman" w:cs="Times New Roman"/>
    </w:rPr>
  </w:style>
  <w:style w:type="character" w:styleId="WW8Num296z0">
    <w:name w:val="WW8Num296z0"/>
    <w:qFormat/>
    <w:rPr>
      <w:rFonts w:ascii="Symbol" w:hAnsi="Symbol" w:cs="Symbol"/>
    </w:rPr>
  </w:style>
  <w:style w:type="character" w:styleId="WW8Num297z0">
    <w:name w:val="WW8Num297z0"/>
    <w:qFormat/>
    <w:rPr/>
  </w:style>
  <w:style w:type="character" w:styleId="WW8Num298z0">
    <w:name w:val="WW8Num298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Wingdings" w:hAnsi="Wingdings" w:cs="Wingdings"/>
      <w:sz w:val="16"/>
    </w:rPr>
  </w:style>
  <w:style w:type="character" w:styleId="WW8Num305z0">
    <w:name w:val="WW8Num305z0"/>
    <w:qFormat/>
    <w:rPr>
      <w:rFonts w:ascii="Symbol" w:hAnsi="Symbol" w:cs="Symbol"/>
    </w:rPr>
  </w:style>
  <w:style w:type="character" w:styleId="WW8Num306z0">
    <w:name w:val="WW8Num306z0"/>
    <w:qFormat/>
    <w:rPr>
      <w:rFonts w:ascii="Times New Roman" w:hAnsi="Times New Roman" w:cs="Times New Roman"/>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8z1">
    <w:name w:val="WW8Num308z1"/>
    <w:qFormat/>
    <w:rPr>
      <w:rFonts w:ascii="Courier New" w:hAnsi="Courier New" w:cs="Courier New"/>
    </w:rPr>
  </w:style>
  <w:style w:type="character" w:styleId="WW8Num308z2">
    <w:name w:val="WW8Num308z2"/>
    <w:qFormat/>
    <w:rPr>
      <w:rFonts w:ascii="Wingdings" w:hAnsi="Wingdings" w:cs="Wingdings"/>
    </w:rPr>
  </w:style>
  <w:style w:type="character" w:styleId="WW8Num309z0">
    <w:name w:val="WW8Num309z0"/>
    <w:qFormat/>
    <w:rPr>
      <w:rFonts w:ascii="Wingdings" w:hAnsi="Wingdings" w:cs="Wingdings"/>
      <w:sz w:val="16"/>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color w:val="auto"/>
    </w:rPr>
  </w:style>
  <w:style w:type="character" w:styleId="WW8Num315z0">
    <w:name w:val="WW8Num315z0"/>
    <w:qFormat/>
    <w:rPr>
      <w:b/>
      <w:i w:val="false"/>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Wingdings" w:hAnsi="Wingdings" w:cs="Wingdings"/>
      <w:sz w:val="16"/>
    </w:rPr>
  </w:style>
  <w:style w:type="character" w:styleId="WW8Num327z0">
    <w:name w:val="WW8Num327z0"/>
    <w:qFormat/>
    <w:rPr>
      <w:rFonts w:ascii="Times New Roman" w:hAnsi="Times New Roman" w:cs="Times New Roman"/>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Wingdings" w:hAnsi="Wingdings" w:cs="Wingdings"/>
    </w:rPr>
  </w:style>
  <w:style w:type="character" w:styleId="WW8Num331z0">
    <w:name w:val="WW8Num331z0"/>
    <w:qFormat/>
    <w:rPr>
      <w:b w:val="false"/>
      <w:i w:val="false"/>
    </w:rPr>
  </w:style>
  <w:style w:type="character" w:styleId="WW8Num333z0">
    <w:name w:val="WW8Num333z0"/>
    <w:qFormat/>
    <w:rPr>
      <w:rFonts w:ascii="Symbol" w:hAnsi="Symbol" w:cs="Symbol"/>
    </w:rPr>
  </w:style>
  <w:style w:type="character" w:styleId="WW8Num334z0">
    <w:name w:val="WW8Num334z0"/>
    <w:qFormat/>
    <w:rPr>
      <w:rFonts w:ascii="Wingdings" w:hAnsi="Wingdings" w:cs="Wingdings"/>
      <w:sz w:val="16"/>
    </w:rPr>
  </w:style>
  <w:style w:type="character" w:styleId="WW8Num335z0">
    <w:name w:val="WW8Num335z0"/>
    <w:qFormat/>
    <w:rPr>
      <w:rFonts w:ascii="Symbol" w:hAnsi="Symbol" w:cs="Symbol"/>
    </w:rPr>
  </w:style>
  <w:style w:type="character" w:styleId="WW8Num336z0">
    <w:name w:val="WW8Num336z0"/>
    <w:qFormat/>
    <w:rPr>
      <w:rFonts w:ascii="Wingdings" w:hAnsi="Wingdings" w:cs="Wingdings"/>
      <w:sz w:val="16"/>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4z0">
    <w:name w:val="WW8Num344z0"/>
    <w:qFormat/>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Wingdings" w:hAnsi="Wingdings" w:cs="Wingdings"/>
      <w:sz w:val="16"/>
    </w:rPr>
  </w:style>
  <w:style w:type="character" w:styleId="WW8Num349z0">
    <w:name w:val="WW8Num349z0"/>
    <w:qFormat/>
    <w:rPr>
      <w:rFonts w:ascii="Times New Roman" w:hAnsi="Times New Roman" w:cs="Times New Roman"/>
    </w:rPr>
  </w:style>
  <w:style w:type="character" w:styleId="WW8Num350z0">
    <w:name w:val="WW8Num350z0"/>
    <w:qFormat/>
    <w:rPr>
      <w:rFonts w:ascii="Wingdings" w:hAnsi="Wingdings" w:cs="Wingdings"/>
    </w:rPr>
  </w:style>
  <w:style w:type="character" w:styleId="WW8Num350z1">
    <w:name w:val="WW8Num350z1"/>
    <w:qFormat/>
    <w:rPr>
      <w:rFonts w:ascii="Courier New" w:hAnsi="Courier New" w:cs="Courier New"/>
    </w:rPr>
  </w:style>
  <w:style w:type="character" w:styleId="WW8Num350z3">
    <w:name w:val="WW8Num350z3"/>
    <w:qFormat/>
    <w:rPr>
      <w:rFonts w:ascii="Symbol" w:hAnsi="Symbol" w:cs="Symbol"/>
    </w:rPr>
  </w:style>
  <w:style w:type="character" w:styleId="WW8Num351z0">
    <w:name w:val="WW8Num351z0"/>
    <w:qFormat/>
    <w:rPr>
      <w:rFonts w:ascii="Symbol" w:hAnsi="Symbol" w:cs="Symbol"/>
    </w:rPr>
  </w:style>
  <w:style w:type="character" w:styleId="WW8Num353z0">
    <w:name w:val="WW8Num353z0"/>
    <w:qFormat/>
    <w:rPr>
      <w:rFonts w:ascii="Symbol" w:hAnsi="Symbol" w:cs="Symbol"/>
      <w:color w:val="auto"/>
    </w:rPr>
  </w:style>
  <w:style w:type="character" w:styleId="WW8Num354z0">
    <w:name w:val="WW8Num354z0"/>
    <w:qFormat/>
    <w:rPr>
      <w:rFonts w:ascii="Wingdings" w:hAnsi="Wingdings" w:cs="Wingdings"/>
      <w:sz w:val="16"/>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Wingdings" w:hAnsi="Wingdings" w:cs="Wingdings"/>
      <w:sz w:val="16"/>
    </w:rPr>
  </w:style>
  <w:style w:type="character" w:styleId="WW8Num360z0">
    <w:name w:val="WW8Num360z0"/>
    <w:qFormat/>
    <w:rPr>
      <w:rFonts w:ascii="Symbol" w:hAnsi="Symbol" w:cs="Symbol"/>
    </w:rPr>
  </w:style>
  <w:style w:type="character" w:styleId="WW8Num361z0">
    <w:name w:val="WW8Num361z0"/>
    <w:qFormat/>
    <w:rPr>
      <w:b w:val="false"/>
    </w:rPr>
  </w:style>
  <w:style w:type="character" w:styleId="WW8Num362z0">
    <w:name w:val="WW8Num362z0"/>
    <w:qFormat/>
    <w:rPr>
      <w:rFonts w:ascii="Symbol" w:hAnsi="Symbol" w:cs="Symbol"/>
    </w:rPr>
  </w:style>
  <w:style w:type="character" w:styleId="WW8Num364z1">
    <w:name w:val="WW8Num364z1"/>
    <w:qFormat/>
    <w:rPr>
      <w:rFonts w:ascii="Symbol" w:hAnsi="Symbol" w:cs="Symbol"/>
    </w:rPr>
  </w:style>
  <w:style w:type="character" w:styleId="WW8Num365z0">
    <w:name w:val="WW8Num365z0"/>
    <w:qFormat/>
    <w:rPr>
      <w:rFonts w:ascii="Wingdings" w:hAnsi="Wingdings" w:cs="Wingdings"/>
      <w:sz w:val="16"/>
    </w:rPr>
  </w:style>
  <w:style w:type="character" w:styleId="WW8Num366z0">
    <w:name w:val="WW8Num366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Wingdings" w:hAnsi="Wingdings" w:cs="Wingdings"/>
      <w:sz w:val="16"/>
    </w:rPr>
  </w:style>
  <w:style w:type="character" w:styleId="WW8Num370z0">
    <w:name w:val="WW8Num370z0"/>
    <w:qFormat/>
    <w:rPr>
      <w:rFonts w:ascii="Symbol" w:hAnsi="Symbol" w:cs="Symbol"/>
    </w:rPr>
  </w:style>
  <w:style w:type="character" w:styleId="WW8Num371z0">
    <w:name w:val="WW8Num371z0"/>
    <w:qFormat/>
    <w:rPr>
      <w:rFonts w:ascii="Times New Roman" w:hAnsi="Times New Roman" w:cs="Times New Roman"/>
    </w:rPr>
  </w:style>
  <w:style w:type="character" w:styleId="WW8Num372z0">
    <w:name w:val="WW8Num372z0"/>
    <w:qFormat/>
    <w:rPr>
      <w:rFonts w:ascii="Symbol" w:hAnsi="Symbol" w:cs="Symbol"/>
    </w:rPr>
  </w:style>
  <w:style w:type="character" w:styleId="WW8Num373z0">
    <w:name w:val="WW8Num373z0"/>
    <w:qFormat/>
    <w:rPr>
      <w:rFonts w:ascii="Wingdings" w:hAnsi="Wingdings" w:cs="Wingdings"/>
    </w:rPr>
  </w:style>
  <w:style w:type="character" w:styleId="WW8Num374z0">
    <w:name w:val="WW8Num374z0"/>
    <w:qFormat/>
    <w:rPr>
      <w:rFonts w:ascii="Wingdings" w:hAnsi="Wingdings" w:cs="Wingdings"/>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Wingdings" w:hAnsi="Wingdings" w:cs="Wingdings"/>
      <w:sz w:val="16"/>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CG Times" w:hAnsi="CG Times" w:cs="CG Times"/>
      <w:b/>
      <w:sz w:val="21"/>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Wingdings" w:hAnsi="Wingdings" w:cs="Wingdings"/>
      <w:sz w:val="16"/>
    </w:rPr>
  </w:style>
  <w:style w:type="character" w:styleId="WW8Num390z0">
    <w:name w:val="WW8Num390z0"/>
    <w:qFormat/>
    <w:rPr>
      <w:rFonts w:ascii="Symbol" w:hAnsi="Symbol" w:cs="Symbol"/>
    </w:rPr>
  </w:style>
  <w:style w:type="character" w:styleId="WW8Num391z0">
    <w:name w:val="WW8Num391z0"/>
    <w:qFormat/>
    <w:rPr>
      <w:rFonts w:ascii="Times New Roman" w:hAnsi="Times New Roman" w:cs="Times New Roman"/>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Times New Roman" w:hAnsi="Times New Roman" w:cs="Times New Roman"/>
    </w:rPr>
  </w:style>
  <w:style w:type="character" w:styleId="WW8Num395z0">
    <w:name w:val="WW8Num395z0"/>
    <w:qFormat/>
    <w:rPr>
      <w:rFonts w:ascii="Symbol" w:hAnsi="Symbol" w:cs="Symbol"/>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6z0">
    <w:name w:val="WW8Num396z0"/>
    <w:qFormat/>
    <w:rPr>
      <w:rFonts w:ascii="Symbol" w:hAnsi="Symbol" w:cs="Symbol"/>
    </w:rPr>
  </w:style>
  <w:style w:type="character" w:styleId="WW8Num397z0">
    <w:name w:val="WW8Num397z0"/>
    <w:qFormat/>
    <w:rPr>
      <w:rFonts w:ascii="Wingdings" w:hAnsi="Wingdings" w:cs="Wingdings"/>
      <w:sz w:val="16"/>
    </w:rPr>
  </w:style>
  <w:style w:type="character" w:styleId="WW8Num399z0">
    <w:name w:val="WW8Num399z0"/>
    <w:qFormat/>
    <w:rPr>
      <w:rFonts w:ascii="Times New Roman" w:hAnsi="Times New Roman" w:cs="Times New Roman"/>
    </w:rPr>
  </w:style>
  <w:style w:type="character" w:styleId="WW8Num400z0">
    <w:name w:val="WW8Num400z0"/>
    <w:qFormat/>
    <w:rPr>
      <w:rFonts w:ascii="Symbol" w:hAnsi="Symbol" w:cs="Symbol"/>
    </w:rPr>
  </w:style>
  <w:style w:type="character" w:styleId="WW8Num401z0">
    <w:name w:val="WW8Num401z0"/>
    <w:qFormat/>
    <w:rPr>
      <w:rFonts w:ascii="Times New Roman" w:hAnsi="Times New Roman" w:cs="Times New Roman"/>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Times New Roman" w:hAnsi="Times New Roman" w:cs="Times New Roman"/>
    </w:rPr>
  </w:style>
  <w:style w:type="character" w:styleId="WW8Num407z0">
    <w:name w:val="WW8Num407z0"/>
    <w:qFormat/>
    <w:rPr>
      <w:rFonts w:ascii="Wingdings" w:hAnsi="Wingdings" w:cs="Wingdings"/>
      <w:sz w:val="16"/>
    </w:rPr>
  </w:style>
  <w:style w:type="character" w:styleId="WW8Num408z0">
    <w:name w:val="WW8Num408z0"/>
    <w:qFormat/>
    <w:rPr>
      <w:rFonts w:ascii="Wingdings" w:hAnsi="Wingdings" w:cs="Wingdings"/>
    </w:rPr>
  </w:style>
  <w:style w:type="character" w:styleId="WW8Num408z1">
    <w:name w:val="WW8Num408z1"/>
    <w:qFormat/>
    <w:rPr>
      <w:rFonts w:ascii="Courier New" w:hAnsi="Courier New" w:cs="Courier New"/>
    </w:rPr>
  </w:style>
  <w:style w:type="character" w:styleId="WW8Num408z3">
    <w:name w:val="WW8Num408z3"/>
    <w:qFormat/>
    <w:rPr>
      <w:rFonts w:ascii="Symbol" w:hAnsi="Symbol" w:cs="Symbol"/>
    </w:rPr>
  </w:style>
  <w:style w:type="character" w:styleId="WW8Num409z0">
    <w:name w:val="WW8Num409z0"/>
    <w:qFormat/>
    <w:rPr>
      <w:rFonts w:ascii="Symbol" w:hAnsi="Symbol" w:cs="Symbol"/>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10z0">
    <w:name w:val="WW8Num410z0"/>
    <w:qFormat/>
    <w:rPr>
      <w:rFonts w:ascii="Wingdings" w:hAnsi="Wingdings" w:cs="Wingdings"/>
      <w:sz w:val="16"/>
    </w:rPr>
  </w:style>
  <w:style w:type="character" w:styleId="WW8Num411z0">
    <w:name w:val="WW8Num411z0"/>
    <w:qFormat/>
    <w:rPr>
      <w:rFonts w:ascii="Symbol" w:hAnsi="Symbol" w:cs="Symbol"/>
    </w:rPr>
  </w:style>
  <w:style w:type="character" w:styleId="WW8Num412z0">
    <w:name w:val="WW8Num412z0"/>
    <w:qFormat/>
    <w:rPr>
      <w:rFonts w:ascii="Wingdings" w:hAnsi="Wingdings" w:cs="Wingdings"/>
    </w:rPr>
  </w:style>
  <w:style w:type="character" w:styleId="WW8Num412z1">
    <w:name w:val="WW8Num412z1"/>
    <w:qFormat/>
    <w:rPr>
      <w:rFonts w:ascii="Courier New" w:hAnsi="Courier New" w:cs="Courier New"/>
    </w:rPr>
  </w:style>
  <w:style w:type="character" w:styleId="WW8Num412z3">
    <w:name w:val="WW8Num412z3"/>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color w:val="auto"/>
    </w:rPr>
  </w:style>
  <w:style w:type="character" w:styleId="WW8Num415z0">
    <w:name w:val="WW8Num415z0"/>
    <w:qFormat/>
    <w:rPr>
      <w:rFonts w:ascii="Symbol" w:hAnsi="Symbol" w:cs="Symbol"/>
    </w:rPr>
  </w:style>
  <w:style w:type="character" w:styleId="WW8Num417z0">
    <w:name w:val="WW8Num417z0"/>
    <w:qFormat/>
    <w:rPr>
      <w:rFonts w:ascii="Symbol" w:hAnsi="Symbol" w:cs="Symbol"/>
      <w:color w:val="auto"/>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Wingdings" w:hAnsi="Wingdings" w:cs="Wingdings"/>
      <w:sz w:val="16"/>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Times New Roman" w:hAnsi="Times New Roman" w:cs="Times New Roman"/>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CG Times" w:hAnsi="CG Times" w:cs="CG Times"/>
      <w:b w:val="false"/>
      <w:i w:val="false"/>
      <w:sz w:val="20"/>
    </w:rPr>
  </w:style>
  <w:style w:type="character" w:styleId="WW8Num433z1">
    <w:name w:val="WW8Num433z1"/>
    <w:qFormat/>
    <w:rPr>
      <w:b w:val="false"/>
      <w:i w:val="false"/>
      <w:sz w:val="20"/>
    </w:rPr>
  </w:style>
  <w:style w:type="character" w:styleId="WW8Num433z2">
    <w:name w:val="WW8Num433z2"/>
    <w:qFormat/>
    <w:rPr>
      <w:b w:val="false"/>
      <w:i w:val="false"/>
      <w:sz w:val="18"/>
    </w:rPr>
  </w:style>
  <w:style w:type="character" w:styleId="WW8Num433z8">
    <w:name w:val="WW8Num433z8"/>
    <w:qFormat/>
    <w:rPr>
      <w:b/>
      <w:i w:val="false"/>
      <w:caps/>
      <w:sz w:val="22"/>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Wingdings" w:hAnsi="Wingdings" w:cs="Wingdings"/>
      <w:sz w:val="16"/>
    </w:rPr>
  </w:style>
  <w:style w:type="character" w:styleId="WW8Num437z0">
    <w:name w:val="WW8Num437z0"/>
    <w:qFormat/>
    <w:rPr>
      <w:rFonts w:ascii="Symbol" w:hAnsi="Symbol" w:cs="Symbol"/>
    </w:rPr>
  </w:style>
  <w:style w:type="character" w:styleId="WW8Num438z0">
    <w:name w:val="WW8Num438z0"/>
    <w:qFormat/>
    <w:rPr>
      <w:rFonts w:ascii="Wingdings" w:hAnsi="Wingdings" w:cs="Wingdings"/>
    </w:rPr>
  </w:style>
  <w:style w:type="character" w:styleId="WW8Num438z1">
    <w:name w:val="WW8Num438z1"/>
    <w:qFormat/>
    <w:rPr>
      <w:rFonts w:ascii="Courier New" w:hAnsi="Courier New" w:cs="Courier New"/>
    </w:rPr>
  </w:style>
  <w:style w:type="character" w:styleId="WW8Num438z3">
    <w:name w:val="WW8Num438z3"/>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Times New Roman" w:hAnsi="Times New Roman" w:cs="Times New Roman"/>
    </w:rPr>
  </w:style>
  <w:style w:type="character" w:styleId="WW8Num441z0">
    <w:name w:val="WW8Num441z0"/>
    <w:qFormat/>
    <w:rPr>
      <w:rFonts w:ascii="Wingdings" w:hAnsi="Wingdings" w:cs="Wingdings"/>
      <w:sz w:val="16"/>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Times New Roman" w:hAnsi="Times New Roman" w:cs="Times New Roman"/>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Times New Roman" w:hAnsi="Times New Roman" w:cs="Times New Roman"/>
      <w:sz w:val="16"/>
    </w:rPr>
  </w:style>
  <w:style w:type="character" w:styleId="WW8Num450z0">
    <w:name w:val="WW8Num450z0"/>
    <w:qFormat/>
    <w:rPr>
      <w:rFonts w:ascii="Times New Roman" w:hAnsi="Times New Roman" w:cs="Times New Roman"/>
    </w:rPr>
  </w:style>
  <w:style w:type="character" w:styleId="WW8Num451z0">
    <w:name w:val="WW8Num451z0"/>
    <w:qFormat/>
    <w:rPr>
      <w:rFonts w:ascii="Symbol" w:hAnsi="Symbol" w:cs="Symbol"/>
    </w:rPr>
  </w:style>
  <w:style w:type="character" w:styleId="WW8Num452z0">
    <w:name w:val="WW8Num452z0"/>
    <w:qFormat/>
    <w:rPr>
      <w:rFonts w:ascii="Wingdings" w:hAnsi="Wingdings" w:cs="Wingdings"/>
    </w:rPr>
  </w:style>
  <w:style w:type="character" w:styleId="WW8Num452z1">
    <w:name w:val="WW8Num452z1"/>
    <w:qFormat/>
    <w:rPr>
      <w:rFonts w:ascii="Courier New" w:hAnsi="Courier New" w:cs="Courier New"/>
    </w:rPr>
  </w:style>
  <w:style w:type="character" w:styleId="WW8Num452z3">
    <w:name w:val="WW8Num452z3"/>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Times New Roman" w:hAnsi="Times New Roman" w:cs="Times New Roman"/>
    </w:rPr>
  </w:style>
  <w:style w:type="character" w:styleId="WW8Num457z0">
    <w:name w:val="WW8Num457z0"/>
    <w:qFormat/>
    <w:rPr>
      <w:rFonts w:ascii="Times New Roman" w:hAnsi="Times New Roman" w:cs="Times New Roman"/>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Times New Roman" w:hAnsi="Times New Roman" w:cs="Times New Roman"/>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Times New Roman" w:hAnsi="Times New Roman" w:cs="Times New Roman"/>
    </w:rPr>
  </w:style>
  <w:style w:type="character" w:styleId="WW8Num471z0">
    <w:name w:val="WW8Num471z0"/>
    <w:qFormat/>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Times New Roman" w:hAnsi="Times New Roman" w:cs="Times New Roman"/>
    </w:rPr>
  </w:style>
  <w:style w:type="character" w:styleId="WW8Num475z0">
    <w:name w:val="WW8Num475z0"/>
    <w:qFormat/>
    <w:rPr>
      <w:rFonts w:ascii="Wingdings" w:hAnsi="Wingdings" w:cs="Wingdings"/>
      <w:sz w:val="16"/>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79z1">
    <w:name w:val="WW8Num479z1"/>
    <w:qFormat/>
    <w:rPr>
      <w:rFonts w:ascii="Courier New" w:hAnsi="Courier New" w:cs="Courier New"/>
    </w:rPr>
  </w:style>
  <w:style w:type="character" w:styleId="WW8Num479z2">
    <w:name w:val="WW8Num479z2"/>
    <w:qFormat/>
    <w:rPr>
      <w:rFonts w:ascii="Wingdings" w:hAnsi="Wingdings" w:cs="Wingdings"/>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b w:val="false"/>
      <w:i w:val="false"/>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Wingdings" w:hAnsi="Wingdings" w:cs="Wingdings"/>
    </w:rPr>
  </w:style>
  <w:style w:type="character" w:styleId="WW8Num488z0">
    <w:name w:val="WW8Num488z0"/>
    <w:qFormat/>
    <w:rPr>
      <w:rFonts w:ascii="Times New Roman" w:hAnsi="Times New Roman" w:cs="Times New Roman"/>
    </w:rPr>
  </w:style>
  <w:style w:type="character" w:styleId="WW8Num489z0">
    <w:name w:val="WW8Num489z0"/>
    <w:qFormat/>
    <w:rPr>
      <w:rFonts w:ascii="Symbol" w:hAnsi="Symbol" w:cs="Symbol"/>
    </w:rPr>
  </w:style>
  <w:style w:type="character" w:styleId="WW8NumSt469z0">
    <w:name w:val="WW8NumSt469z0"/>
    <w:qFormat/>
    <w:rPr>
      <w:rFonts w:ascii="Symbol" w:hAnsi="Symbol" w:cs="Symbol"/>
    </w:rPr>
  </w:style>
  <w:style w:type="character" w:styleId="WW8NumSt533z0">
    <w:name w:val="WW8NumSt53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CG Times" w:hAnsi="CG Times" w:cs="CG Times"/>
      <w:sz w:val="22"/>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Hyperlink">
    <w:name w:val="Hyperlink"/>
    <w:basedOn w:val="DefaultParagraphFont"/>
    <w:rPr>
      <w:color w:val="008000"/>
      <w:u w:val="none"/>
    </w:rPr>
  </w:style>
  <w:style w:type="character" w:styleId="PN">
    <w:name w:val="PN"/>
    <w:basedOn w:val="DefaultParagraphFont"/>
    <w:qFormat/>
    <w:rPr>
      <w:rFonts w:ascii="CG Times" w:hAnsi="CG Times" w:cs="CG Times"/>
      <w:sz w:val="22"/>
      <w:lang w:val="en-US"/>
    </w:rPr>
  </w:style>
  <w:style w:type="paragraph" w:styleId="Heading">
    <w:name w:val="Heading"/>
    <w:basedOn w:val="Normal"/>
    <w:next w:val="BodyText"/>
    <w:qFormat/>
    <w:pPr>
      <w:pBdr>
        <w:top w:val="single" w:sz="4" w:space="1" w:color="000000"/>
        <w:left w:val="single" w:sz="4" w:space="4" w:color="000000"/>
        <w:bottom w:val="single" w:sz="4" w:space="1" w:color="000000"/>
        <w:right w:val="single" w:sz="4" w:space="4" w:color="000000"/>
      </w:pBdr>
      <w:jc w:val="center"/>
    </w:pPr>
    <w:rPr>
      <w:b/>
      <w:sz w:val="36"/>
    </w:rPr>
  </w:style>
  <w:style w:type="paragraph" w:styleId="BodyText">
    <w:name w:val="Body Text"/>
    <w:basedOn w:val="Normal"/>
    <w:pPr>
      <w:numPr>
        <w:ilvl w:val="0"/>
        <w:numId w:val="12"/>
      </w:numP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720" w:start="720" w:end="0"/>
    </w:pPr>
    <w:rPr/>
  </w:style>
  <w:style w:type="paragraph" w:styleId="Footer">
    <w:name w:val="footer"/>
    <w:basedOn w:val="Normal"/>
    <w:pPr>
      <w:tabs>
        <w:tab w:val="clear" w:pos="720"/>
        <w:tab w:val="center" w:pos="4253" w:leader="none"/>
        <w:tab w:val="right" w:pos="8505" w:leader="none"/>
      </w:tabs>
    </w:pPr>
    <w:rPr>
      <w:sz w:val="16"/>
    </w:rPr>
  </w:style>
  <w:style w:type="paragraph" w:styleId="FootnoteText">
    <w:name w:val="footnote text"/>
    <w:basedOn w:val="Normal"/>
    <w:pPr>
      <w:tabs>
        <w:tab w:val="clear" w:pos="720"/>
        <w:tab w:val="left" w:pos="284" w:leader="none"/>
      </w:tabs>
      <w:ind w:hanging="284" w:start="284" w:end="0"/>
    </w:pPr>
    <w:rPr>
      <w:sz w:val="18"/>
    </w:rPr>
  </w:style>
  <w:style w:type="paragraph" w:styleId="EndnoteText">
    <w:name w:val="endnote text"/>
    <w:basedOn w:val="Normal"/>
    <w:pPr>
      <w:tabs>
        <w:tab w:val="clear" w:pos="720"/>
        <w:tab w:val="left" w:pos="284" w:leader="none"/>
      </w:tabs>
      <w:ind w:hanging="284" w:start="284" w:end="0"/>
    </w:pPr>
    <w:rPr>
      <w:sz w:val="18"/>
    </w:rPr>
  </w:style>
  <w:style w:type="paragraph" w:styleId="TOC1">
    <w:name w:val="toc 1"/>
    <w:basedOn w:val="Normal"/>
    <w:next w:val="Normal"/>
    <w:pPr>
      <w:tabs>
        <w:tab w:val="left" w:pos="720" w:leader="none"/>
        <w:tab w:val="right" w:pos="8505" w:leader="dot"/>
      </w:tabs>
      <w:spacing w:before="120" w:after="120"/>
      <w:ind w:hanging="720" w:start="720" w:end="567"/>
    </w:pPr>
    <w:rPr>
      <w:lang w:val="en-CA"/>
    </w:rPr>
  </w:style>
  <w:style w:type="paragraph" w:styleId="Titleofdoc">
    <w:name w:val="Titleofdoc"/>
    <w:basedOn w:val="Normal"/>
    <w:qFormat/>
    <w:pPr>
      <w:jc w:val="center"/>
    </w:pPr>
    <w:rPr>
      <w:b/>
      <w:sz w:val="28"/>
    </w:rPr>
  </w:style>
  <w:style w:type="paragraph" w:styleId="Titleoftrans">
    <w:name w:val="Titleoftrans"/>
    <w:basedOn w:val="Normal"/>
    <w:qFormat/>
    <w:pPr>
      <w:jc w:val="center"/>
    </w:pPr>
    <w:rPr>
      <w:b/>
    </w:rPr>
  </w:style>
  <w:style w:type="paragraph" w:styleId="TOC2">
    <w:name w:val="toc 2"/>
    <w:basedOn w:val="Normal"/>
    <w:next w:val="Normal"/>
    <w:pPr>
      <w:tabs>
        <w:tab w:val="left" w:pos="720" w:leader="none"/>
        <w:tab w:val="right" w:pos="8505" w:leader="dot"/>
      </w:tabs>
      <w:ind w:hanging="720" w:start="720" w:end="567"/>
    </w:pPr>
    <w:rPr>
      <w:lang w:val="en-CA"/>
    </w:rPr>
  </w:style>
  <w:style w:type="paragraph" w:styleId="MainHeading">
    <w:name w:val="Main Heading"/>
    <w:basedOn w:val="Normal"/>
    <w:next w:val="Normal"/>
    <w:qFormat/>
    <w:pPr/>
    <w:rPr>
      <w:b/>
    </w:rPr>
  </w:style>
  <w:style w:type="paragraph" w:styleId="SubHeading">
    <w:name w:val="Sub Heading"/>
    <w:basedOn w:val="Normal"/>
    <w:next w:val="Normal"/>
    <w:qFormat/>
    <w:pPr/>
    <w:rPr>
      <w:b/>
      <w:i/>
    </w:rPr>
  </w:style>
  <w:style w:type="paragraph" w:styleId="Logo">
    <w:name w:val="Logo"/>
    <w:basedOn w:val="Header"/>
    <w:qFormat/>
    <w:pPr>
      <w:ind w:hanging="720" w:start="-1134" w:end="-1134"/>
      <w:jc w:val="center"/>
    </w:pPr>
    <w:rPr>
      <w:rFonts w:ascii="Copperplate33bc" w:hAnsi="Copperplate33bc" w:cs="Copperplate33bc"/>
      <w:sz w:val="36"/>
    </w:rPr>
  </w:style>
  <w:style w:type="paragraph" w:styleId="BodyText2">
    <w:name w:val="Body Text 2"/>
    <w:basedOn w:val="Normal"/>
    <w:qFormat/>
    <w:pPr>
      <w:ind w:hanging="0" w:start="1440" w:end="0"/>
    </w:pPr>
    <w:rPr/>
  </w:style>
  <w:style w:type="paragraph" w:styleId="BodyText3">
    <w:name w:val="Body Text 3"/>
    <w:basedOn w:val="Normal"/>
    <w:qFormat/>
    <w:pPr>
      <w:ind w:hanging="0" w:start="2160" w:end="0"/>
    </w:pPr>
    <w:rPr/>
  </w:style>
  <w:style w:type="paragraph" w:styleId="BodyText4">
    <w:name w:val="Body Text 4"/>
    <w:basedOn w:val="Normal"/>
    <w:qFormat/>
    <w:pPr>
      <w:ind w:hanging="0" w:start="2880" w:end="0"/>
    </w:pPr>
    <w:rPr/>
  </w:style>
  <w:style w:type="paragraph" w:styleId="ListArabic2">
    <w:name w:val="List Arabic 2"/>
    <w:basedOn w:val="Normal"/>
    <w:qFormat/>
    <w:pPr>
      <w:numPr>
        <w:ilvl w:val="0"/>
        <w:numId w:val="20"/>
      </w:numPr>
    </w:pPr>
    <w:rPr/>
  </w:style>
  <w:style w:type="paragraph" w:styleId="ListAlpha1">
    <w:name w:val="List Alpha 1"/>
    <w:basedOn w:val="Normal"/>
    <w:qFormat/>
    <w:pPr>
      <w:numPr>
        <w:ilvl w:val="0"/>
        <w:numId w:val="16"/>
      </w:numPr>
    </w:pPr>
    <w:rPr>
      <w:b/>
      <w:i/>
    </w:rPr>
  </w:style>
  <w:style w:type="paragraph" w:styleId="ListAlpha2">
    <w:name w:val="List Alpha 2"/>
    <w:basedOn w:val="Normal"/>
    <w:qFormat/>
    <w:pPr>
      <w:numPr>
        <w:ilvl w:val="0"/>
        <w:numId w:val="16"/>
      </w:numPr>
    </w:pPr>
    <w:rPr/>
  </w:style>
  <w:style w:type="paragraph" w:styleId="ListAlpha3">
    <w:name w:val="List Alpha 3"/>
    <w:basedOn w:val="Normal"/>
    <w:qFormat/>
    <w:pPr>
      <w:numPr>
        <w:ilvl w:val="0"/>
        <w:numId w:val="16"/>
      </w:numPr>
    </w:pPr>
    <w:rPr/>
  </w:style>
  <w:style w:type="paragraph" w:styleId="ListRoman1">
    <w:name w:val="List Roman 1"/>
    <w:basedOn w:val="Normal"/>
    <w:qFormat/>
    <w:pPr>
      <w:numPr>
        <w:ilvl w:val="0"/>
        <w:numId w:val="4"/>
      </w:numPr>
    </w:pPr>
    <w:rPr/>
  </w:style>
  <w:style w:type="paragraph" w:styleId="ListRoman2">
    <w:name w:val="List Roman 2"/>
    <w:basedOn w:val="Normal"/>
    <w:qFormat/>
    <w:pPr>
      <w:numPr>
        <w:ilvl w:val="0"/>
        <w:numId w:val="4"/>
      </w:numPr>
    </w:pPr>
    <w:rPr/>
  </w:style>
  <w:style w:type="paragraph" w:styleId="ListRoman3">
    <w:name w:val="List Roman 3"/>
    <w:basedOn w:val="Normal"/>
    <w:qFormat/>
    <w:pPr>
      <w:numPr>
        <w:ilvl w:val="0"/>
        <w:numId w:val="4"/>
      </w:numPr>
    </w:pPr>
    <w:rPr/>
  </w:style>
  <w:style w:type="paragraph" w:styleId="ListArabic4">
    <w:name w:val="List Arabic 4"/>
    <w:basedOn w:val="Normal"/>
    <w:qFormat/>
    <w:pPr>
      <w:numPr>
        <w:ilvl w:val="0"/>
        <w:numId w:val="20"/>
      </w:numPr>
    </w:pPr>
    <w:rPr/>
  </w:style>
  <w:style w:type="paragraph" w:styleId="ListArabic1">
    <w:name w:val="List Arabic 1"/>
    <w:basedOn w:val="Normal"/>
    <w:qFormat/>
    <w:pPr>
      <w:numPr>
        <w:ilvl w:val="0"/>
        <w:numId w:val="20"/>
      </w:numPr>
    </w:pPr>
    <w:rPr/>
  </w:style>
  <w:style w:type="paragraph" w:styleId="ListArabic3">
    <w:name w:val="List Arabic 3"/>
    <w:basedOn w:val="Normal"/>
    <w:qFormat/>
    <w:pPr>
      <w:numPr>
        <w:ilvl w:val="0"/>
        <w:numId w:val="20"/>
      </w:numPr>
    </w:pPr>
    <w:rPr/>
  </w:style>
  <w:style w:type="paragraph" w:styleId="BodyTextIndent">
    <w:name w:val="Body Text Indent"/>
    <w:basedOn w:val="Normal"/>
    <w:pPr>
      <w:spacing w:lineRule="atLeast" w:line="360" w:before="240" w:after="0"/>
      <w:ind w:hanging="425" w:start="850" w:end="0"/>
    </w:pPr>
    <w:rPr>
      <w:rFonts w:ascii="Arial" w:hAnsi="Arial" w:cs="Arial"/>
      <w:kern w:val="2"/>
      <w:sz w:val="24"/>
    </w:rPr>
  </w:style>
  <w:style w:type="paragraph" w:styleId="BodyTextIndent2">
    <w:name w:val="Body Text Indent 2"/>
    <w:basedOn w:val="Normal"/>
    <w:qFormat/>
    <w:pPr>
      <w:spacing w:lineRule="atLeast" w:line="360" w:before="240" w:after="0"/>
      <w:ind w:hanging="0" w:start="1275" w:end="0"/>
    </w:pPr>
    <w:rPr>
      <w:rFonts w:ascii="Arial" w:hAnsi="Arial" w:cs="Arial"/>
      <w:kern w:val="2"/>
      <w:sz w:val="24"/>
    </w:rPr>
  </w:style>
  <w:style w:type="paragraph" w:styleId="BodyTextIndent3">
    <w:name w:val="Body Text Indent 3"/>
    <w:basedOn w:val="Normal"/>
    <w:qFormat/>
    <w:pPr>
      <w:spacing w:lineRule="atLeast" w:line="360" w:before="240" w:after="0"/>
      <w:ind w:hanging="0" w:start="850" w:end="0"/>
    </w:pPr>
    <w:rPr>
      <w:rFonts w:ascii="Arial" w:hAnsi="Arial" w:cs="Arial"/>
      <w:kern w:val="2"/>
      <w:sz w:val="24"/>
    </w:rPr>
  </w:style>
  <w:style w:type="paragraph" w:styleId="RightTab">
    <w:name w:val="Right Tab"/>
    <w:basedOn w:val="Normal"/>
    <w:next w:val="Normal"/>
    <w:qFormat/>
    <w:pPr>
      <w:tabs>
        <w:tab w:val="clear" w:pos="720"/>
        <w:tab w:val="right" w:pos="8505" w:leader="none"/>
      </w:tabs>
    </w:pPr>
    <w:rPr/>
  </w:style>
  <w:style w:type="paragraph" w:styleId="NotesArabic">
    <w:name w:val="Notes Arabic"/>
    <w:basedOn w:val="Normal"/>
    <w:qFormat/>
    <w:pPr>
      <w:numPr>
        <w:ilvl w:val="0"/>
        <w:numId w:val="7"/>
      </w:numPr>
      <w:ind w:hanging="720" w:start="0" w:end="0"/>
    </w:pPr>
    <w:rPr/>
  </w:style>
  <w:style w:type="paragraph" w:styleId="NotesAlpha">
    <w:name w:val="Notes Alpha"/>
    <w:basedOn w:val="Normal"/>
    <w:qFormat/>
    <w:pPr>
      <w:numPr>
        <w:ilvl w:val="0"/>
        <w:numId w:val="7"/>
      </w:numPr>
    </w:pPr>
    <w:rPr/>
  </w:style>
  <w:style w:type="paragraph" w:styleId="NotesRoman">
    <w:name w:val="Notes Roman"/>
    <w:basedOn w:val="Normal"/>
    <w:qFormat/>
    <w:pPr>
      <w:numPr>
        <w:ilvl w:val="0"/>
        <w:numId w:val="7"/>
      </w:numPr>
      <w:tabs>
        <w:tab w:val="left" w:pos="720" w:leader="none"/>
      </w:tabs>
      <w:ind w:hanging="0" w:start="720" w:end="0"/>
    </w:pPr>
    <w:rPr/>
  </w:style>
  <w:style w:type="paragraph" w:styleId="ListALPHACAPS1">
    <w:name w:val="List ALPHA CAPS 1"/>
    <w:basedOn w:val="Normal"/>
    <w:qFormat/>
    <w:pPr>
      <w:numPr>
        <w:ilvl w:val="0"/>
        <w:numId w:val="3"/>
      </w:numPr>
    </w:pPr>
    <w:rPr/>
  </w:style>
  <w:style w:type="paragraph" w:styleId="ListALPHACAPS2">
    <w:name w:val="List ALPHA CAPS 2"/>
    <w:basedOn w:val="Normal"/>
    <w:qFormat/>
    <w:pPr>
      <w:numPr>
        <w:ilvl w:val="0"/>
        <w:numId w:val="3"/>
      </w:numPr>
    </w:pPr>
    <w:rPr/>
  </w:style>
  <w:style w:type="paragraph" w:styleId="ListALPHACAPS3">
    <w:name w:val="List ALPHA CAPS 3"/>
    <w:basedOn w:val="Normal"/>
    <w:qFormat/>
    <w:pPr>
      <w:numPr>
        <w:ilvl w:val="0"/>
        <w:numId w:val="3"/>
      </w:numPr>
    </w:pPr>
    <w:rPr/>
  </w:style>
  <w:style w:type="paragraph" w:styleId="ListLegal1">
    <w:name w:val="List Legal 1"/>
    <w:basedOn w:val="Normal"/>
    <w:qFormat/>
    <w:pPr>
      <w:numPr>
        <w:ilvl w:val="0"/>
        <w:numId w:val="15"/>
      </w:numPr>
    </w:pPr>
    <w:rPr/>
  </w:style>
  <w:style w:type="paragraph" w:styleId="ListLegal2">
    <w:name w:val="List Legal 2"/>
    <w:basedOn w:val="Normal"/>
    <w:qFormat/>
    <w:pPr>
      <w:numPr>
        <w:ilvl w:val="0"/>
        <w:numId w:val="15"/>
      </w:numPr>
    </w:pPr>
    <w:rPr/>
  </w:style>
  <w:style w:type="paragraph" w:styleId="ListLegal3">
    <w:name w:val="List Legal 3"/>
    <w:basedOn w:val="Normal"/>
    <w:qFormat/>
    <w:pPr>
      <w:numPr>
        <w:ilvl w:val="0"/>
        <w:numId w:val="15"/>
      </w:numPr>
    </w:pPr>
    <w:rPr/>
  </w:style>
  <w:style w:type="paragraph" w:styleId="Schedule">
    <w:name w:val="Schedule"/>
    <w:basedOn w:val="Normal"/>
    <w:next w:val="Normal"/>
    <w:qFormat/>
    <w:pPr>
      <w:jc w:val="center"/>
    </w:pPr>
    <w:rPr>
      <w:b/>
    </w:rPr>
  </w:style>
  <w:style w:type="paragraph" w:styleId="ListBullet">
    <w:name w:val="List Bullet"/>
    <w:basedOn w:val="Normal"/>
    <w:qFormat/>
    <w:pPr>
      <w:numPr>
        <w:ilvl w:val="0"/>
        <w:numId w:val="2"/>
      </w:numPr>
      <w:tabs>
        <w:tab w:val="clear" w:pos="720"/>
        <w:tab w:val="left" w:pos="1080" w:leader="none"/>
      </w:tabs>
      <w:ind w:hanging="0" w:start="1080" w:end="0"/>
    </w:pPr>
    <w:rPr/>
  </w:style>
  <w:style w:type="paragraph" w:styleId="Standardnachberschrift">
    <w:name w:val="Standard nach Überschrift"/>
    <w:basedOn w:val="Normal"/>
    <w:qFormat/>
    <w:pPr>
      <w:spacing w:lineRule="atLeast" w:line="360" w:before="240" w:after="0"/>
      <w:ind w:hanging="0" w:start="992" w:end="0"/>
    </w:pPr>
    <w:rPr>
      <w:rFonts w:ascii="Arial" w:hAnsi="Arial" w:cs="Arial"/>
      <w:kern w:val="2"/>
      <w:sz w:val="24"/>
      <w:lang w:val="de-DE"/>
    </w:rPr>
  </w:style>
  <w:style w:type="paragraph" w:styleId="PartHeadings">
    <w:name w:val="Part Headings"/>
    <w:basedOn w:val="Normal"/>
    <w:next w:val="Normal"/>
    <w:qFormat/>
    <w:pPr>
      <w:numPr>
        <w:ilvl w:val="0"/>
        <w:numId w:val="24"/>
      </w:numPr>
      <w:suppressAutoHyphens w:val="true"/>
      <w:spacing w:lineRule="auto" w:line="312" w:before="0" w:after="300"/>
      <w:jc w:val="center"/>
      <w:outlineLvl w:val="2"/>
    </w:pPr>
    <w:rPr>
      <w:b/>
      <w:sz w:val="21"/>
    </w:rPr>
  </w:style>
  <w:style w:type="paragraph" w:styleId="COVERPAGE">
    <w:name w:val="COVERPAGE"/>
    <w:basedOn w:val="Normal"/>
    <w:qFormat/>
    <w:pPr>
      <w:spacing w:before="0" w:after="0"/>
      <w:jc w:val="start"/>
    </w:pPr>
    <w:rPr/>
  </w:style>
  <w:style w:type="paragraph" w:styleId="ZitatVermerk">
    <w:name w:val="Zitat Vermerk"/>
    <w:basedOn w:val="Normal"/>
    <w:qFormat/>
    <w:pPr>
      <w:spacing w:lineRule="auto" w:line="240"/>
      <w:ind w:hanging="0" w:start="1418" w:end="425"/>
    </w:pPr>
    <w:rPr/>
  </w:style>
  <w:style w:type="paragraph" w:styleId="BlockText">
    <w:name w:val="Block Text"/>
    <w:basedOn w:val="Normal"/>
    <w:qFormat/>
    <w:pPr>
      <w:spacing w:lineRule="auto" w:line="240" w:before="0" w:after="0"/>
      <w:ind w:hanging="720" w:start="720" w:end="26"/>
    </w:pPr>
    <w:rPr>
      <w:rFonts w:ascii="Times New Roman" w:hAnsi="Times New Roman" w:cs="Times New Roman"/>
    </w:rPr>
  </w:style>
  <w:style w:type="paragraph" w:styleId="squarebullet">
    <w:name w:val="square bullet"/>
    <w:basedOn w:val="Normal"/>
    <w:qFormat/>
    <w:pPr>
      <w:numPr>
        <w:ilvl w:val="0"/>
        <w:numId w:val="21"/>
      </w:numPr>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720"/>
        <w:tab w:val="center" w:pos="4252" w:leader="none"/>
        <w:tab w:val="right" w:pos="850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yperlink" Target="http://www.rectp.de/English.htm" TargetMode="Externa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Agreement.dot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1999-12-21T12:56:00Z</dcterms:created>
  <dc:creator>Thomas Stögmüller</dc:creator>
  <dc:description/>
  <dc:language>en-CA</dc:language>
  <cp:lastModifiedBy>Buckingham</cp:lastModifiedBy>
  <cp:lastPrinted>1999-12-21T10:47:00Z</cp:lastPrinted>
  <dcterms:modified xsi:type="dcterms:W3CDTF">1999-12-21T12:56:00Z</dcterms:modified>
  <cp:revision>2</cp:revision>
  <dc:subject/>
  <dc:title>__________________________________</dc:title>
</cp:coreProperties>
</file>