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00" w:after="100"/>
        <w:ind w:hanging="0" w:start="0"/>
        <w:rPr/>
      </w:pPr>
      <w:r>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GERMAN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Control occurs.</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2"/>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 xml:space="preserve">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 </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2"/>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2"/>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6"/>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6"/>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w:t>
      </w:r>
    </w:p>
    <w:p>
      <w:pPr>
        <w:pStyle w:val="BodyTextIndent2"/>
        <w:rPr/>
      </w:pPr>
      <w:r>
        <w:rPr/>
        <w:t>then such party may, in its sole discretion, upon two (2) Business Days notice to the other party, designate an Early Termination Date under Section 5 of this GTC. For purposes of calculating Gains, Losses and Costs under Section 5 of this GTC, the party designating the Early Termination Date as a result of a Change in Tax Law shall be treated as the Defaulting Party, and the other party shall be treated as the non-defaulting party.</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(E),(F) or (G)).</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insolvency proceedings are instituted with regard to the Reference Entity;</w:t>
      </w:r>
    </w:p>
    <w:p>
      <w:pPr>
        <w:pStyle w:val="Normal"/>
        <w:numPr>
          <w:ilvl w:val="0"/>
          <w:numId w:val="0"/>
        </w:numPr>
        <w:ind w:start="720" w:end="0"/>
        <w:jc w:val="both"/>
        <w:outlineLvl w:val="0"/>
        <w:rPr>
          <w:rFonts w:ascii="Arial" w:hAnsi="Arial" w:cs="Arial"/>
          <w:sz w:val="20"/>
        </w:rPr>
      </w:pPr>
      <w:r>
        <w:rPr>
          <w:rFonts w:cs="Arial" w:ascii="Arial" w:hAnsi="Arial"/>
          <w:sz w:val="20"/>
        </w:rPr>
        <w:t>(ii)</w:t>
        <w:tab/>
        <w: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30 days of its filing; or </w:t>
      </w:r>
    </w:p>
    <w:p>
      <w:pPr>
        <w:pStyle w:val="Normal"/>
        <w:numPr>
          <w:ilvl w:val="0"/>
          <w:numId w:val="0"/>
        </w:numPr>
        <w:ind w:start="720" w:end="0"/>
        <w:jc w:val="both"/>
        <w:outlineLvl w:val="0"/>
        <w:rPr/>
      </w:pPr>
      <w:r>
        <w:rPr>
          <w:rFonts w:cs="Arial" w:ascii="Arial" w:hAnsi="Arial"/>
          <w:sz w:val="20"/>
        </w:rPr>
        <w:t>(iii)</w:t>
        <w:tab/>
        <w:t>the winding up (</w:t>
      </w:r>
      <w:r>
        <w:rPr>
          <w:rFonts w:cs="Arial" w:ascii="Arial" w:hAnsi="Arial"/>
          <w:i/>
          <w:sz w:val="20"/>
        </w:rPr>
        <w:t>Auflösung</w:t>
      </w:r>
      <w:r>
        <w:rPr>
          <w:rFonts w:cs="Arial" w:ascii="Arial" w:hAnsi="Arial"/>
          <w:sz w:val="20"/>
        </w:rPr>
        <w:t>) of the Reference Equity other than for the purposes of an amalgamation, merger, consolidation, reorganisation, reconstruction or other arrangement.</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in respect of the first payment, the first Quarter Day falling after the Effective Date for that Transaction;</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 </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Börsenzeitung, Handelsblatt or Frankfurter Allgemeine Zeitung,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BodyTextIndent"/>
        <w:rPr/>
      </w:pPr>
      <w:r>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New York.</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7"/>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4(d), the date of occurrence of the Event of Default shall automatically be designated as an Early Termination Date" shall be inserted at the end of the first sentence of the first paragraph of Section 5; and</w:t>
      </w:r>
    </w:p>
    <w:p>
      <w:pPr>
        <w:pStyle w:val="Normal"/>
        <w:numPr>
          <w:ilvl w:val="4"/>
          <w:numId w:val="7"/>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the third sentence of Section 6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startOverride w:val="1"/>
    </w:lvlOverride>
  </w:num>
  <w:num w:numId="9">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paragraph" w:styleId="Heading1">
    <w:name w:val="heading 1"/>
    <w:basedOn w:val="Normal"/>
    <w:next w:val="Normal"/>
    <w:qFormat/>
    <w:pPr>
      <w:keepNext w:val="true"/>
      <w:numPr>
        <w:ilvl w:val="0"/>
        <w:numId w:val="1"/>
      </w:numPr>
      <w:jc w:val="end"/>
      <w:outlineLvl w:val="0"/>
    </w:pPr>
    <w:rPr>
      <w:rFonts w:ascii="Arial" w:hAnsi="Arial" w:cs="Arial"/>
      <w:b/>
      <w:sz w:val="20"/>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paragraph" w:styleId="BodyTextIndent2">
    <w:name w:val="Body Text Indent 2"/>
    <w:basedOn w:val="Normal"/>
    <w:qFormat/>
    <w:pPr>
      <w:numPr>
        <w:ilvl w:val="0"/>
        <w:numId w:val="0"/>
      </w:numPr>
      <w:ind w:hanging="0" w:start="2160" w:end="0"/>
      <w:jc w:val="both"/>
      <w:outlineLvl w:val="2"/>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2000-02-17T07:29:00Z</dcterms:created>
  <dc:creator>NEdmonds</dc:creator>
  <dc:description/>
  <dc:language>en-CA</dc:language>
  <cp:lastModifiedBy>NEdmonds</cp:lastModifiedBy>
  <dcterms:modified xsi:type="dcterms:W3CDTF">2000-02-17T17:13:00Z</dcterms:modified>
  <cp:revision>4</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BCM</vt:lpwstr>
  </property>
  <property fmtid="{D5CDD505-2E9C-101B-9397-08002B2CF9AE}" pid="4" name="udp_BorderStyle">
    <vt:lpwstr>None</vt:lpwstr>
  </property>
  <property fmtid="{D5CDD505-2E9C-101B-9397-08002B2CF9AE}" pid="5" name="udp_CMNumber">
    <vt:lpwstr>000000/00000</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Bin Numbers</vt:lpwstr>
  </property>
  <property fmtid="{D5CDD505-2E9C-101B-9397-08002B2CF9AE}" pid="9" name="udp_Department">
    <vt:lpwstr> </vt:lpwstr>
  </property>
  <property fmtid="{D5CDD505-2E9C-101B-9397-08002B2CF9AE}" pid="10" name="udp_DocID">
    <vt:lpwstr>CACopy1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Bin Numbers</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Murphy, Benjamin</vt:lpwstr>
  </property>
  <property fmtid="{D5CDD505-2E9C-101B-9397-08002B2CF9AE}" pid="18" name="udp_Version">
    <vt:lpwstr>0</vt:lpwstr>
  </property>
</Properties>
</file>