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rPr>
          <w:sz w:val="24"/>
        </w:rPr>
      </w:pPr>
      <w:r>
        <w:rPr>
          <w:sz w:val="24"/>
        </w:rPr>
        <w:t>interoffice memorandum</w:t>
      </w:r>
    </w:p>
    <w:p>
      <w:pPr>
        <w:pStyle w:val="MessageHeaderFirst"/>
        <w:rPr/>
      </w:pPr>
      <w:r>
        <w:rPr>
          <w:rStyle w:val="MessageHeaderLabel"/>
          <w:sz w:val="24"/>
        </w:rPr>
        <w:t>to:</w:t>
      </w:r>
      <w:r>
        <w:rPr>
          <w:sz w:val="24"/>
        </w:rPr>
        <w:tab/>
        <w:t>Steve Montovano</w:t>
      </w:r>
    </w:p>
    <w:p>
      <w:pPr>
        <w:pStyle w:val="MessageHeader"/>
        <w:rPr/>
      </w:pPr>
      <w:r>
        <w:rPr>
          <w:rStyle w:val="MessageHeaderLabel"/>
          <w:sz w:val="24"/>
        </w:rPr>
        <w:t>from:</w:t>
      </w:r>
      <w:r>
        <w:rPr>
          <w:sz w:val="24"/>
        </w:rPr>
        <w:tab/>
        <w:t>Tom Chapman</w:t>
      </w:r>
    </w:p>
    <w:p>
      <w:pPr>
        <w:pStyle w:val="MessageHeader"/>
        <w:rPr/>
      </w:pPr>
      <w:r>
        <w:rPr>
          <w:rStyle w:val="MessageHeaderLabel"/>
          <w:sz w:val="24"/>
        </w:rPr>
        <w:t>subject:</w:t>
      </w:r>
      <w:r>
        <w:rPr>
          <w:sz w:val="24"/>
        </w:rPr>
        <w:tab/>
        <w:t>AGL Gas Model</w:t>
      </w:r>
    </w:p>
    <w:p>
      <w:pPr>
        <w:pStyle w:val="MessageHeader"/>
        <w:rPr>
          <w:sz w:val="24"/>
        </w:rPr>
      </w:pPr>
      <w:r>
        <w:rPr>
          <w:rStyle w:val="MessageHeaderLabel"/>
          <w:sz w:val="24"/>
        </w:rPr>
        <w:t>date:</w:t>
      </w:r>
      <w:r>
        <w:rPr>
          <w:sz w:val="24"/>
        </w:rPr>
        <w:tab/>
      </w:r>
      <w:r>
        <w:rPr>
          <w:sz w:val="24"/>
        </w:rPr>
        <w:fldChar w:fldCharType="begin"/>
      </w:r>
      <w:r>
        <w:rPr>
          <w:sz w:val="24"/>
        </w:rPr>
        <w:instrText xml:space="preserve"> DATE \@"M/d/yyyy" </w:instrText>
      </w:r>
      <w:r>
        <w:rPr>
          <w:sz w:val="24"/>
        </w:rPr>
        <w:fldChar w:fldCharType="separate"/>
      </w:r>
      <w:r>
        <w:rPr>
          <w:sz w:val="24"/>
        </w:rPr>
        <w:t>9/28/2025</w:t>
      </w:r>
      <w:r>
        <w:rPr>
          <w:sz w:val="24"/>
        </w:rPr>
        <w:fldChar w:fldCharType="end"/>
      </w:r>
    </w:p>
    <w:p>
      <w:pPr>
        <w:pStyle w:val="MessageHeaderLast"/>
        <w:rPr/>
      </w:pPr>
      <w:r>
        <w:rPr>
          <w:rStyle w:val="MessageHeaderLabel"/>
          <w:sz w:val="24"/>
        </w:rPr>
        <w:t>cc:</w:t>
      </w:r>
      <w:r>
        <w:rPr>
          <w:sz w:val="24"/>
        </w:rPr>
        <w:tab/>
        <w:t>Jim Steffes, Janine Migden, Jeff Dasovich, Roy Boston</w:t>
      </w:r>
    </w:p>
    <w:p>
      <w:pPr>
        <w:pStyle w:val="BodyText"/>
        <w:rPr>
          <w:sz w:val="24"/>
        </w:rPr>
      </w:pPr>
      <w:r>
        <w:rPr>
          <w:sz w:val="24"/>
        </w:rPr>
        <w:t>The Atlanta Gas Light (AGL) model of natural gas deregulation is one of the most dynamic models yet put forward.  100% of Georgia customers have switched providers because AGL removed itself from the process of marketing the commodity.  Instead, AGL has become a simple distribution company.  This being said, AGL is still buying  capacity on the wholesale natural gas pipelines, even though the marketers own the gas.  Thus, although a progressive retail model, the current wholesale allotment will limit Enron’s ability to leverage its expertise.</w:t>
      </w:r>
    </w:p>
    <w:p>
      <w:pPr>
        <w:pStyle w:val="BodyText"/>
        <w:rPr/>
      </w:pPr>
      <w:r>
        <w:rPr>
          <w:b/>
          <w:bCs/>
          <w:sz w:val="24"/>
        </w:rPr>
        <w:t>Direct Access Allowed? For What Customers? What Timeline?</w:t>
      </w:r>
      <w:r>
        <w:rPr>
          <w:sz w:val="24"/>
        </w:rPr>
        <w:t xml:space="preserve"> </w:t>
      </w:r>
    </w:p>
    <w:p>
      <w:pPr>
        <w:pStyle w:val="BodyText"/>
        <w:rPr>
          <w:sz w:val="24"/>
        </w:rPr>
      </w:pPr>
      <w:r>
        <w:rPr>
          <w:sz w:val="24"/>
        </w:rPr>
        <w:t xml:space="preserve">When the market opened, the rules stated that at a certain point (to be determined by the Georgia PSC, but that required 1/3 of peak load to be served by marketers and 18% of that load to be served by non-affiliated marketers) customers would be randomly assigned based on the percentage break-down of customers who had already selected a marketer.  In fact, this process of random distribution took place sooner than many gas insiders expected.  In May of 1999, the PSC determined that enough customers had chosen at alternative supplier.  This meant that the AGL service territory was ready for random assignment, and so in August of 1999, AGL customers who had not chosen a supplier were distributed to the companies in the market, based on their company’s share of the market.  </w:t>
      </w:r>
    </w:p>
    <w:p>
      <w:pPr>
        <w:pStyle w:val="BodyText"/>
        <w:rPr>
          <w:sz w:val="24"/>
        </w:rPr>
      </w:pPr>
      <w:r>
        <w:rPr>
          <w:sz w:val="24"/>
        </w:rPr>
        <w:t xml:space="preserve">At that time, a couple of major market players emerged: Georgia Natural Gas (a 50% AGL affiliate, 25% Dynegy, and 25% Piedmont NG from NC), SCANA, Peachtree NG (which went bankrupt in Oct. 1999 and auctioned its customers to Shell) and Shell.  The current market situation includes eleven marketers with New Power on its way to being licensed which would make twelve.  All customers have the right to choose a new marketer although many companies have one-year contracts with their clients.  Thus, some would have to break that contractual obligation in order to choose.  </w:t>
      </w:r>
    </w:p>
    <w:p>
      <w:pPr>
        <w:pStyle w:val="BodyText"/>
        <w:rPr>
          <w:b/>
          <w:bCs/>
          <w:sz w:val="24"/>
        </w:rPr>
      </w:pPr>
      <w:r>
        <w:rPr>
          <w:b/>
          <w:bCs/>
          <w:sz w:val="24"/>
        </w:rPr>
        <w:t>Upstream Capacity Resolution – Assignment or Otherwise? Are there assets left to optimize?</w:t>
      </w:r>
    </w:p>
    <w:p>
      <w:pPr>
        <w:pStyle w:val="BodyText"/>
        <w:rPr>
          <w:sz w:val="24"/>
        </w:rPr>
      </w:pPr>
      <w:r>
        <w:rPr>
          <w:sz w:val="24"/>
        </w:rPr>
        <w:t xml:space="preserve">The capacity question is a little more sticky.  Essentially, the Commission ruled in August 2000 to allocate 70% of AGL’s capacity according to a marketer’s long term market share for 36 months; the other 30% would continue to be allocated on a monthly bases based on market share.  Before August, AGL was responsible for scheduling all of the capacity on the pipes, and all of the capacity was allocated on a monthly basis.  These figures do not include AGL’s Incremental Bundled Storage Service and other products that have been deemed outside of the retail market.  </w:t>
      </w:r>
    </w:p>
    <w:p>
      <w:pPr>
        <w:pStyle w:val="BodyText"/>
        <w:rPr>
          <w:sz w:val="24"/>
        </w:rPr>
      </w:pPr>
      <w:r>
        <w:rPr>
          <w:sz w:val="24"/>
        </w:rPr>
        <w:t xml:space="preserve">So are there assets left to optimize? Yes, the allocation is not permanent.  It is only a thirty-six month basis for 70% and a monthly basis for the other 30%.  However, AGL handles this distribution, and for this reason, it is unlikely that Enron would be able to provide a long-term service to another marketer or provider.  Furthermore, because the assets are alloted based on market share, this allotment will limit Enron’s ability to gain market share barring retail market participation.  </w:t>
      </w:r>
    </w:p>
    <w:p>
      <w:pPr>
        <w:pStyle w:val="BodyText"/>
        <w:rPr>
          <w:sz w:val="24"/>
        </w:rPr>
      </w:pPr>
      <w:r>
        <w:rPr>
          <w:sz w:val="24"/>
        </w:rPr>
        <w:t>As a long term strategy and an opportunity to grow Enron’s business in Georgia, we should attempt to push AGL from this role as wholesale capacity buyer and allow that service to be determined by the individual marketers.</w:t>
      </w:r>
    </w:p>
    <w:p>
      <w:pPr>
        <w:pStyle w:val="BodyText"/>
        <w:rPr>
          <w:b/>
          <w:bCs/>
          <w:sz w:val="24"/>
        </w:rPr>
      </w:pPr>
      <w:r>
        <w:rPr>
          <w:b/>
          <w:bCs/>
          <w:sz w:val="24"/>
        </w:rPr>
        <w:t>Retail Pricing – Fixed Price vs. PBR (how?) vs. something else?</w:t>
      </w:r>
    </w:p>
    <w:p>
      <w:pPr>
        <w:pStyle w:val="BodyText"/>
        <w:rPr>
          <w:sz w:val="24"/>
        </w:rPr>
      </w:pPr>
      <w:r>
        <w:rPr>
          <w:sz w:val="24"/>
        </w:rPr>
        <w:t>Unlike many of the models currently being used in other jurisdictions, many marketers provide a relatively large amount of diverse services.  Some of these marketers offer a fixed rate pricing program.  Some of the marketers offer weatherized or peak pricing, and still other offer other products like economy billing or fixed rate billing.  I have included the filed prices at the GA PSC which represent a snap shot picture of the current prices available in the market.  These prices represent an average price, not specifically offered products.  So for example, SCANA’s price might be $1.04 per therm for the created DDDC factor, but it may differ dramatically if the DDDC factor is moved even one or two points.  But this should represent the price disparity in the market.</w:t>
      </w:r>
    </w:p>
    <w:p>
      <w:pPr>
        <w:pStyle w:val="BodyText"/>
        <w:rPr>
          <w:sz w:val="24"/>
        </w:rPr>
      </w:pPr>
      <w:r>
        <w:rPr>
          <w:sz w:val="24"/>
        </w:rPr>
        <w:t xml:space="preserve">There is no set PBR because all customers have been distributed to marketers, and as part of that distribution, the subsidies provided by large users has been eliminated.  This means that any company that would be in a position for a PBR is probably signing a long -term contract outside of any rate structure.  Instead, each PBR situation is probably signed on an individual basis with individual terms.  </w:t>
      </w:r>
    </w:p>
    <w:p>
      <w:pPr>
        <w:pStyle w:val="BodyText"/>
        <w:rPr>
          <w:b/>
          <w:bCs/>
          <w:sz w:val="24"/>
        </w:rPr>
      </w:pPr>
      <w:r>
        <w:rPr>
          <w:b/>
          <w:bCs/>
          <w:sz w:val="24"/>
        </w:rPr>
        <w:t>Role of Wholesale Outsourcing Agency (would ENA sell to marketers or utilities or both?)</w:t>
      </w:r>
    </w:p>
    <w:p>
      <w:pPr>
        <w:pStyle w:val="BodyText"/>
        <w:rPr>
          <w:sz w:val="24"/>
        </w:rPr>
      </w:pPr>
      <w:r>
        <w:rPr>
          <w:sz w:val="24"/>
        </w:rPr>
        <w:t>Currently, AGL is the mechanism through which marketers are allotted there wholesale capacity.  This means that these marketers are still at liberty to provide their own wholesale commodity.  Theoretically, ENA could sell thirty-six month contracts for wholesale gas to the marketers due to their upstream capcity needs.  However, because these thirty-six month contracts were established in August, it is unlikely that most of these positions are not hedged.  Over the short term, ENA could probably sell monthly or short term (3-6 months) contracts to marketers on a need basis, particularly because some of the marketers, namely Duke Solutions (and I have even heard SCANA), might be jumping the market in the not to distant future.  When these marketers go, some default and large use customers will filter back into the pool.  This will leave an opportunity in the short-term market to provide gas to the marketers who receive these new customers, but who have not received 36 month allocations of pipeline capacity.  Shell is currently the interim pooler, so they will provide the immediate service, but after the customers have either been purchased or allotted (depending on size), perhaps there would be a commercial opportunity.</w:t>
      </w:r>
    </w:p>
    <w:p>
      <w:pPr>
        <w:pStyle w:val="BodyText"/>
        <w:rPr>
          <w:b/>
          <w:bCs/>
          <w:sz w:val="24"/>
        </w:rPr>
      </w:pPr>
      <w:r>
        <w:rPr>
          <w:b/>
          <w:bCs/>
          <w:sz w:val="24"/>
        </w:rPr>
        <w:t>Other</w:t>
      </w:r>
    </w:p>
    <w:p>
      <w:pPr>
        <w:pStyle w:val="BodyText"/>
        <w:rPr>
          <w:sz w:val="24"/>
        </w:rPr>
      </w:pPr>
      <w:r>
        <w:rPr>
          <w:sz w:val="24"/>
        </w:rPr>
        <w:t xml:space="preserve">On a public basis, the Georgia system has struggled due to billing issues.  During last winter, many of the systems were not fully integrated with AGL, or AGL provided faulty information.  Furthermore, some marketers simply had not created the necessary infrastructure (call centers, people to handle back room systems, etc) to handle the huge volume of business.  This forced many Georgia customers to endure billing irregularities, creating a public cloud of skepticism regarding the market in Georgia that permeates the whole southeast.  This problem was further exacerbated recently by Georgia Natural Gas’s revelation that they had accidently over-priced their gas on those customers whose meters were read from January 10-19.  Thus, the people of Georgia have not bought into the model yet, and it would be difficult to sell to others.  </w:t>
      </w:r>
    </w:p>
    <w:p>
      <w:pPr>
        <w:pStyle w:val="BodyText"/>
        <w:rPr>
          <w:sz w:val="24"/>
        </w:rPr>
      </w:pPr>
      <w:r>
        <w:rPr>
          <w:sz w:val="24"/>
        </w:rPr>
        <w:t xml:space="preserve">The original problems with billing, however, were just transition issues (the Georgia NG issue might be something else), and I believe the model is a strong one.  It would be more favorable from a commercial position if the wholesale market and capacity on the transmission pipelines was more liquid and less regulated.  As it now stands with AGL continuing to allocate space to marketers versus an open auction, the wholesale market is stricly a bilateral market.  That being said, ENA could have bilateral opportunities with new entries and when marketers leave.  </w:t>
      </w:r>
    </w:p>
    <w:p>
      <w:pPr>
        <w:pStyle w:val="BodyText"/>
        <w:rPr>
          <w:sz w:val="24"/>
        </w:rPr>
      </w:pPr>
      <w:r>
        <w:rPr>
          <w:sz w:val="24"/>
        </w:rPr>
      </w:r>
    </w:p>
    <w:p>
      <w:pPr>
        <w:pStyle w:val="BodyText"/>
        <w:spacing w:before="0" w:after="240"/>
        <w:rPr>
          <w:rFonts w:eastAsia="Garamond"/>
          <w:sz w:val="24"/>
        </w:rPr>
      </w:pPr>
      <w:r>
        <w:rPr>
          <w:rFonts w:eastAsia="Garamond"/>
          <w:sz w:val="24"/>
        </w:rPr>
        <w:t xml:space="preserve"> </w:t>
      </w:r>
    </w:p>
    <w:sectPr>
      <w:footerReference w:type="default" r:id="rId2"/>
      <w:footerReference w:type="first" r:id="rId3"/>
      <w:type w:val="nextPage"/>
      <w:pgSz w:w="12240" w:h="15840"/>
      <w:pgMar w:left="1800" w:right="1800" w:gutter="0" w:header="0" w:top="1440" w:footer="96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2" w:color="000000"/>
      </w:pBdr>
      <w:spacing w:before="600" w:after="0"/>
      <w:ind w:start="4080" w:end="4080"/>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jc w:val="star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ramond" w:hAnsi="Garamond" w:eastAsia="Times New Roman" w:cs="Garamond"/>
      <w:color w:val="auto"/>
      <w:sz w:val="22"/>
      <w:szCs w:val="20"/>
      <w:lang w:val="en-US" w:bidi="ar-SA" w:eastAsia="zh-CN"/>
    </w:rPr>
  </w:style>
  <w:style w:type="paragraph" w:styleId="Heading1">
    <w:name w:val="heading 1"/>
    <w:basedOn w:val="Normal"/>
    <w:next w:val="BodyText"/>
    <w:qFormat/>
    <w:pPr>
      <w:keepNext w:val="true"/>
      <w:keepLines/>
      <w:numPr>
        <w:ilvl w:val="0"/>
        <w:numId w:val="1"/>
      </w:numPr>
      <w:spacing w:lineRule="atLeast" w:line="240" w:before="0" w:after="180"/>
      <w:jc w:val="center"/>
      <w:outlineLvl w:val="0"/>
    </w:pPr>
    <w:rPr>
      <w:caps/>
      <w:spacing w:val="20"/>
      <w:kern w:val="2"/>
      <w:sz w:val="18"/>
    </w:rPr>
  </w:style>
  <w:style w:type="paragraph" w:styleId="Heading2">
    <w:name w:val="heading 2"/>
    <w:basedOn w:val="Normal"/>
    <w:next w:val="BodyText"/>
    <w:qFormat/>
    <w:pPr>
      <w:keepNext w:val="true"/>
      <w:keepLines/>
      <w:numPr>
        <w:ilvl w:val="1"/>
        <w:numId w:val="1"/>
      </w:numPr>
      <w:spacing w:lineRule="atLeast" w:line="240" w:before="0" w:after="170"/>
      <w:outlineLvl w:val="1"/>
    </w:pPr>
    <w:rPr>
      <w:rFonts w:ascii="Garamond" w:hAnsi="Garamond" w:cs="Garamond"/>
      <w:caps/>
      <w:kern w:val="2"/>
      <w:sz w:val="22"/>
    </w:rPr>
  </w:style>
  <w:style w:type="paragraph" w:styleId="Heading3">
    <w:name w:val="heading 3"/>
    <w:basedOn w:val="Normal"/>
    <w:next w:val="BodyText"/>
    <w:qFormat/>
    <w:pPr>
      <w:keepNext w:val="true"/>
      <w:keepLines/>
      <w:numPr>
        <w:ilvl w:val="2"/>
        <w:numId w:val="1"/>
      </w:numPr>
      <w:spacing w:lineRule="atLeast" w:line="240" w:before="0" w:after="240"/>
      <w:outlineLvl w:val="2"/>
    </w:pPr>
    <w:rPr>
      <w:rFonts w:ascii="Garamond" w:hAnsi="Garamond" w:cs="Garamond"/>
      <w:i/>
      <w:kern w:val="2"/>
      <w:sz w:val="22"/>
    </w:rPr>
  </w:style>
  <w:style w:type="paragraph" w:styleId="Heading4">
    <w:name w:val="heading 4"/>
    <w:basedOn w:val="Normal"/>
    <w:next w:val="BodyText"/>
    <w:qFormat/>
    <w:pPr>
      <w:keepNext w:val="true"/>
      <w:keepLines/>
      <w:numPr>
        <w:ilvl w:val="3"/>
        <w:numId w:val="1"/>
      </w:numPr>
      <w:spacing w:lineRule="atLeast" w:line="240"/>
      <w:outlineLvl w:val="3"/>
    </w:pPr>
    <w:rPr>
      <w:caps/>
      <w:kern w:val="2"/>
      <w:sz w:val="18"/>
    </w:rPr>
  </w:style>
  <w:style w:type="paragraph" w:styleId="Heading5">
    <w:name w:val="heading 5"/>
    <w:basedOn w:val="Normal"/>
    <w:next w:val="BodyText"/>
    <w:qFormat/>
    <w:pPr>
      <w:keepNext w:val="true"/>
      <w:keepLines/>
      <w:numPr>
        <w:ilvl w:val="4"/>
        <w:numId w:val="1"/>
      </w:numPr>
      <w:spacing w:lineRule="atLeast" w:line="240"/>
      <w:outlineLvl w:val="4"/>
    </w:pPr>
    <w:rPr>
      <w:rFonts w:ascii="Garamond" w:hAnsi="Garamond" w:cs="Garamond"/>
      <w:kern w:val="2"/>
      <w:sz w:val="22"/>
    </w:rPr>
  </w:style>
  <w:style w:type="character" w:styleId="DefaultParagraphFont">
    <w:name w:val="Default Paragraph Font"/>
    <w:qFormat/>
    <w:rPr/>
  </w:style>
  <w:style w:type="character" w:styleId="MessageHeaderLabel">
    <w:name w:val="Message Header Label"/>
    <w:qFormat/>
    <w:rPr>
      <w:b/>
      <w:sz w:val="18"/>
    </w:rPr>
  </w:style>
  <w:style w:type="character" w:styleId="PageNumber">
    <w:name w:val="page number"/>
    <w:rPr/>
  </w:style>
  <w:style w:type="character" w:styleId="Slogan">
    <w:name w:val="Slogan"/>
    <w:basedOn w:val="DefaultParagraphFont"/>
    <w:qFormat/>
    <w:rPr>
      <w:i/>
      <w:spacing w:val="70"/>
      <w:sz w:val="21"/>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before="0" w:after="240"/>
      <w:ind w:firstLine="360" w:start="0" w:end="0"/>
      <w:jc w:val="both"/>
    </w:pPr>
    <w:rPr>
      <w:rFonts w:ascii="Garamond" w:hAnsi="Garamond" w:cs="Garamond"/>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next w:val="Normal"/>
    <w:qFormat/>
    <w:pPr>
      <w:spacing w:lineRule="atLeast" w:line="220"/>
    </w:pPr>
    <w:rPr>
      <w:rFonts w:ascii="Garamond" w:hAnsi="Garamond" w:cs="Garamond"/>
      <w:sz w:val="22"/>
    </w:rPr>
  </w:style>
  <w:style w:type="paragraph" w:styleId="CompanyName">
    <w:name w:val="Company Name"/>
    <w:basedOn w:val="BodyText"/>
    <w:qFormat/>
    <w:pPr>
      <w:keepLines/>
      <w:spacing w:before="0" w:after="40"/>
      <w:ind w:hanging="0" w:start="0" w:end="0"/>
      <w:jc w:val="center"/>
    </w:pPr>
    <w:rPr>
      <w:caps/>
      <w:spacing w:val="75"/>
    </w:rPr>
  </w:style>
  <w:style w:type="paragraph" w:styleId="DocumentLabel">
    <w:name w:val="Document Label"/>
    <w:next w:val="Normal"/>
    <w:qFormat/>
    <w:pPr>
      <w:widowControl/>
      <w:pBdr>
        <w:top w:val="double" w:sz="6" w:space="8" w:color="808080"/>
        <w:bottom w:val="double" w:sz="6" w:space="8" w:color="808080"/>
      </w:pBdr>
      <w:bidi w:val="0"/>
      <w:spacing w:lineRule="atLeast" w:line="240" w:before="0" w:after="40"/>
      <w:jc w:val="center"/>
    </w:pPr>
    <w:rPr>
      <w:rFonts w:ascii="Garamond" w:hAnsi="Garamond" w:eastAsia="Times New Roman" w:cs="Garamond"/>
      <w:b/>
      <w:caps/>
      <w:color w:val="auto"/>
      <w:spacing w:val="20"/>
      <w:sz w:val="18"/>
      <w:szCs w:val="20"/>
      <w:lang w:val="en-US" w:bidi="ar-SA" w:eastAsia="zh-CN"/>
    </w:rPr>
  </w:style>
  <w:style w:type="paragraph" w:styleId="Enclosure">
    <w:name w:val="Enclosure"/>
    <w:basedOn w:val="BodyText"/>
    <w:next w:val="Normal"/>
    <w:qFormat/>
    <w:pPr>
      <w:keepLines/>
      <w:spacing w:before="220" w:after="240"/>
      <w:ind w:hanging="0" w:start="0" w:end="0"/>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ind w:hanging="0" w:start="0" w:end="-240"/>
      <w:jc w:val="center"/>
    </w:pPr>
    <w:rPr>
      <w:kern w:val="2"/>
    </w:rPr>
  </w:style>
  <w:style w:type="paragraph" w:styleId="Header">
    <w:name w:val="header"/>
    <w:basedOn w:val="HeaderBase"/>
    <w:pPr>
      <w:spacing w:before="0" w:after="660"/>
      <w:ind w:hanging="0" w:start="0" w:end="0"/>
      <w:jc w:val="center"/>
    </w:pPr>
    <w:rPr>
      <w:caps/>
      <w:kern w:val="2"/>
      <w:sz w:val="18"/>
    </w:rPr>
  </w:style>
  <w:style w:type="paragraph" w:styleId="HeadingBase">
    <w:name w:val="Heading Base"/>
    <w:basedOn w:val="BodyText"/>
    <w:next w:val="BodyText"/>
    <w:qFormat/>
    <w:pPr>
      <w:keepNext w:val="true"/>
      <w:keepLines/>
      <w:spacing w:before="0" w:after="0"/>
      <w:ind w:hanging="0" w:start="0" w:end="0"/>
      <w:jc w:val="start"/>
    </w:pPr>
    <w:rPr>
      <w:kern w:val="2"/>
    </w:rPr>
  </w:style>
  <w:style w:type="paragraph" w:styleId="MessageHeader">
    <w:name w:val="Message Header"/>
    <w:basedOn w:val="BodyText"/>
    <w:qFormat/>
    <w:pPr>
      <w:keepLines/>
      <w:spacing w:before="0" w:after="120"/>
      <w:ind w:hanging="1080" w:start="1080" w:end="0"/>
      <w:jc w:val="start"/>
    </w:pPr>
    <w:rPr>
      <w:caps/>
      <w:sz w:val="18"/>
    </w:rPr>
  </w:style>
  <w:style w:type="paragraph" w:styleId="MessageHeaderFirst">
    <w:name w:val="Message Header First"/>
    <w:basedOn w:val="MessageHeader"/>
    <w:next w:val="MessageHeader"/>
    <w:qFormat/>
    <w:pPr>
      <w:spacing w:before="360" w:after="120"/>
    </w:pPr>
    <w:rPr/>
  </w:style>
  <w:style w:type="paragraph" w:styleId="MessageHeaderLast">
    <w:name w:val="Message Header Last"/>
    <w:basedOn w:val="MessageHeader"/>
    <w:next w:val="BodyText"/>
    <w:qFormat/>
    <w:pPr>
      <w:pBdr>
        <w:bottom w:val="single" w:sz="6" w:space="18" w:color="808080"/>
      </w:pBdr>
      <w:spacing w:before="0" w:after="360"/>
    </w:pPr>
    <w:rPr/>
  </w:style>
  <w:style w:type="paragraph" w:styleId="NormalIndent">
    <w:name w:val="Normal Indent"/>
    <w:basedOn w:val="Normal"/>
    <w:qFormat/>
    <w:pPr>
      <w:ind w:hanging="0" w:start="720" w:end="0"/>
    </w:pPr>
    <w:rPr/>
  </w:style>
  <w:style w:type="paragraph" w:styleId="ReturnAddress">
    <w:name w:val="Return Address"/>
    <w:qFormat/>
    <w:pPr>
      <w:widowControl/>
      <w:bidi w:val="0"/>
      <w:spacing w:lineRule="atLeast" w:line="240"/>
      <w:ind w:hanging="0" w:start="0" w:end="-240"/>
      <w:jc w:val="center"/>
    </w:pPr>
    <w:rPr>
      <w:rFonts w:ascii="Garamond" w:hAnsi="Garamond" w:eastAsia="Times New Roman" w:cs="Garamond"/>
      <w:caps/>
      <w:color w:val="auto"/>
      <w:spacing w:val="30"/>
      <w:sz w:val="15"/>
      <w:szCs w:val="20"/>
      <w:lang w:val="en-US" w:bidi="ar-SA" w:eastAsia="zh-CN"/>
    </w:rPr>
  </w:style>
  <w:style w:type="paragraph" w:styleId="Signature">
    <w:name w:val="Signature"/>
    <w:basedOn w:val="BodyText"/>
    <w:next w:val="Normal"/>
    <w:pPr>
      <w:keepNext w:val="true"/>
      <w:keepLines/>
      <w:spacing w:before="660" w:after="0"/>
    </w:pPr>
    <w:rPr/>
  </w:style>
  <w:style w:type="paragraph" w:styleId="SignatureJobTitle">
    <w:name w:val="Signature Job Title"/>
    <w:basedOn w:val="Signature"/>
    <w:next w:val="Normal"/>
    <w:qFormat/>
    <w:pPr>
      <w:spacing w:before="0" w:after="0"/>
      <w:ind w:hanging="0" w:start="0" w:end="0"/>
    </w:pPr>
    <w:rPr/>
  </w:style>
  <w:style w:type="paragraph" w:styleId="SignatureName">
    <w:name w:val="Signature Name"/>
    <w:basedOn w:val="Signature"/>
    <w:next w:val="SignatureJobTitle"/>
    <w:qFormat/>
    <w:pPr>
      <w:ind w:hanging="0" w:start="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Elegant Memo.dot</Template>
  <TotalTime>481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2001-02-02T10:46:00Z</dcterms:created>
  <dc:creator>tchapm2</dc:creator>
  <dc:description/>
  <dc:language>en-CA</dc:language>
  <cp:lastModifiedBy>tchapm2</cp:lastModifiedBy>
  <cp:lastPrinted>2001-02-02T15:20:00Z</cp:lastPrinted>
  <dcterms:modified xsi:type="dcterms:W3CDTF">2001-02-02T19:07:00Z</dcterms:modified>
  <cp:revision>3</cp:revision>
  <dc:subject/>
  <dc:title>Elegant Memo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r8>1033</vt:r8>
  </property>
  <property fmtid="{D5CDD505-2E9C-101B-9397-08002B2CF9AE}" pid="3" name="UseDefaultLanguage">
    <vt:bool>1</vt:bool>
  </property>
  <property fmtid="{D5CDD505-2E9C-101B-9397-08002B2CF9AE}" pid="4" name="Version">
    <vt:r8>99022200</vt:r8>
  </property>
</Properties>
</file>